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pacing w:val="28"/>
          <w:kern w:val="0"/>
          <w:sz w:val="30"/>
          <w:szCs w:val="30"/>
          <w:lang w:eastAsia="zh-CN"/>
        </w:rPr>
        <w:t>沈阳科技学院</w:t>
      </w:r>
      <w:r>
        <w:rPr>
          <w:rFonts w:hint="eastAsia" w:ascii="宋体" w:hAnsi="宋体" w:eastAsia="宋体" w:cs="宋体"/>
          <w:b/>
          <w:color w:val="000000"/>
          <w:spacing w:val="28"/>
          <w:kern w:val="0"/>
          <w:sz w:val="30"/>
          <w:szCs w:val="30"/>
        </w:rPr>
        <w:t>命题审查表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333"/>
        <w:gridCol w:w="2540"/>
        <w:gridCol w:w="1547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命题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教师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填写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编码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命题教师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命题教师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学时/学分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闭卷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开卷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试卷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命题质量审查要求</w:t>
            </w:r>
          </w:p>
        </w:tc>
        <w:tc>
          <w:tcPr>
            <w:tcW w:w="8906" w:type="dxa"/>
            <w:gridSpan w:val="4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试卷命题是否以课程教学大纲规定的教学目标为依据，考核内容是否覆盖大纲规定的基本内容。考核内容未超过大纲的范围，未出偏题、怪题。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试卷命题是否综合考虑试卷的难易程度，考核学生的基础知识、基本理论和基本技能，是否注重考核学生的综合分析、理解和运用所学知识的能力，难易搭配，题量适中，试题规范。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6" w:type="dxa"/>
            <w:gridSpan w:val="4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题型是否多样化，包括四种以上题型，如：选择题、填空题、判断题、名词解释、简答题、计算题、论述题、案例分析、作文和其他等题型。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命题表述是否简明、准确，图表、图片和数学表达式（或公式）清晰、准确。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6" w:type="dxa"/>
            <w:gridSpan w:val="4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题目分值设定是否合理；题目所设分值与知识点的重要性和试题难易程度是否相符。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6" w:type="dxa"/>
            <w:gridSpan w:val="4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同一课程号、课程名是否执行同一版教学大纲，使用同一试题考核。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命题教师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本人已认真审核，本次试卷命题符合以上审查要求。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签字：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教研室主任审核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试卷满足审查要求，可用于课程考核。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签字：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jc w:val="right"/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widowControl/>
              <w:spacing w:line="240" w:lineRule="auto"/>
              <w:jc w:val="righ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教学主任审核</w:t>
            </w:r>
          </w:p>
        </w:tc>
        <w:tc>
          <w:tcPr>
            <w:tcW w:w="6573" w:type="dxa"/>
            <w:gridSpan w:val="3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试卷符合质量和规范要求，可用于课程考核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，现申请付印。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签字：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9638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  <w:t>保密承诺：</w:t>
            </w:r>
          </w:p>
          <w:p>
            <w:pPr>
              <w:widowControl/>
              <w:ind w:firstLine="421"/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  <w:t>考试是非常严肃的事情，所有参与命题、审题环节的人员必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  <w:t>遵守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试卷质量审查的重要性和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  <w:t>试卷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  <w:t>保密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性相关规定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  <w:t>，不做任何形式的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漏审、误审、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  <w:t xml:space="preserve">漏题、泄题事宜，确保考试的严肃性，公平性，本人已知晓。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  <w:t>院、系、部公章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月</w:t>
      </w:r>
    </w:p>
    <w:p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eastAsia="zh-CN"/>
        </w:rPr>
      </w:pPr>
    </w:p>
    <w:p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cs="宋体"/>
          <w:b/>
          <w:bCs/>
          <w:color w:val="FF0000"/>
          <w:kern w:val="0"/>
          <w:sz w:val="20"/>
          <w:szCs w:val="20"/>
          <w:lang w:eastAsia="zh-CN"/>
        </w:rPr>
      </w:pPr>
    </w:p>
    <w:p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eastAsia="zh-CN"/>
        </w:rPr>
        <w:t>备注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2"/>
        </w:numPr>
        <w:spacing w:line="360" w:lineRule="exact"/>
        <w:ind w:left="425" w:leftChars="0" w:hanging="425" w:firstLineChars="0"/>
        <w:jc w:val="left"/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本表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eastAsia="zh-CN"/>
        </w:rPr>
        <w:t>须打印后用黑色水性笔填写一式两份，一份与印刷样卷上交时报教务处归档；另一份待考试结束后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各系（部、院）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归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档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复印件与其他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考试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材料一同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归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档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 xml:space="preserve">。 </w:t>
      </w:r>
    </w:p>
    <w:p>
      <w:pPr>
        <w:widowControl/>
        <w:numPr>
          <w:ilvl w:val="0"/>
          <w:numId w:val="2"/>
        </w:numPr>
        <w:spacing w:line="360" w:lineRule="exact"/>
        <w:ind w:left="425" w:leftChars="0" w:hanging="425" w:firstLineChars="0"/>
        <w:jc w:val="left"/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未经审核的试题不得付印。</w:t>
      </w:r>
    </w:p>
    <w:p>
      <w:pPr>
        <w:widowControl/>
        <w:numPr>
          <w:ilvl w:val="0"/>
          <w:numId w:val="2"/>
        </w:numPr>
        <w:spacing w:line="360" w:lineRule="exact"/>
        <w:ind w:left="425" w:leftChars="0" w:hanging="425" w:firstLineChars="0"/>
        <w:jc w:val="left"/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eastAsia="zh-CN"/>
        </w:rPr>
        <w:t>打印本表时，不打印备注项。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 xml:space="preserve"> </w:t>
      </w:r>
    </w:p>
    <w:p>
      <w:pPr>
        <w:widowControl/>
        <w:spacing w:line="360" w:lineRule="exact"/>
        <w:ind w:firstLine="120" w:firstLineChars="50"/>
        <w:jc w:val="left"/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 xml:space="preserve">                             </w:t>
      </w:r>
    </w:p>
    <w:p>
      <w:pPr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7" w:h="16840"/>
      <w:pgMar w:top="1440" w:right="1080" w:bottom="1440" w:left="1080" w:header="720" w:footer="720" w:gutter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ABA8FF"/>
    <w:multiLevelType w:val="singleLevel"/>
    <w:tmpl w:val="96ABA8F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A3E844"/>
    <w:multiLevelType w:val="singleLevel"/>
    <w:tmpl w:val="75A3E84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2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YWIyODUyZTYwYzI5YjA4NWU1ZmVjMzQyNmI2ZTQifQ=="/>
  </w:docVars>
  <w:rsids>
    <w:rsidRoot w:val="00C3320E"/>
    <w:rsid w:val="000D0070"/>
    <w:rsid w:val="003245A5"/>
    <w:rsid w:val="004B4E14"/>
    <w:rsid w:val="006D36F7"/>
    <w:rsid w:val="0085474E"/>
    <w:rsid w:val="00B37CF6"/>
    <w:rsid w:val="068723D9"/>
    <w:rsid w:val="06FE189D"/>
    <w:rsid w:val="0A536499"/>
    <w:rsid w:val="0B8F6E10"/>
    <w:rsid w:val="0C281F69"/>
    <w:rsid w:val="0DF530A5"/>
    <w:rsid w:val="0E6B152D"/>
    <w:rsid w:val="0EA22343"/>
    <w:rsid w:val="165219B1"/>
    <w:rsid w:val="16DA6555"/>
    <w:rsid w:val="194660BE"/>
    <w:rsid w:val="1D62223E"/>
    <w:rsid w:val="1F5A0233"/>
    <w:rsid w:val="221943D6"/>
    <w:rsid w:val="23344974"/>
    <w:rsid w:val="255B5F97"/>
    <w:rsid w:val="289217DF"/>
    <w:rsid w:val="2B781DCE"/>
    <w:rsid w:val="2F0B4B5B"/>
    <w:rsid w:val="30F2476F"/>
    <w:rsid w:val="33A61191"/>
    <w:rsid w:val="357E6769"/>
    <w:rsid w:val="368C23C3"/>
    <w:rsid w:val="37F749ED"/>
    <w:rsid w:val="3A033549"/>
    <w:rsid w:val="3B046F52"/>
    <w:rsid w:val="3DE0035C"/>
    <w:rsid w:val="4303381B"/>
    <w:rsid w:val="437843DE"/>
    <w:rsid w:val="4587600E"/>
    <w:rsid w:val="4AA541A9"/>
    <w:rsid w:val="4D49421F"/>
    <w:rsid w:val="52BE56AA"/>
    <w:rsid w:val="54DD0514"/>
    <w:rsid w:val="58F4209F"/>
    <w:rsid w:val="657A31CF"/>
    <w:rsid w:val="65B01F28"/>
    <w:rsid w:val="6795433D"/>
    <w:rsid w:val="690A3D62"/>
    <w:rsid w:val="6C950D01"/>
    <w:rsid w:val="6D08089B"/>
    <w:rsid w:val="721455EC"/>
    <w:rsid w:val="76010635"/>
    <w:rsid w:val="7A8F6158"/>
    <w:rsid w:val="7B494559"/>
    <w:rsid w:val="7BBF481B"/>
    <w:rsid w:val="7BD9148B"/>
    <w:rsid w:val="7D493BFC"/>
    <w:rsid w:val="7FBF5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0"/>
    <w:pPr>
      <w:ind w:firstLine="540" w:firstLineChars="225"/>
    </w:pPr>
    <w:rPr>
      <w:sz w:val="24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character" w:styleId="9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690</Characters>
  <Lines>5</Lines>
  <Paragraphs>1</Paragraphs>
  <TotalTime>25</TotalTime>
  <ScaleCrop>false</ScaleCrop>
  <LinksUpToDate>false</LinksUpToDate>
  <CharactersWithSpaces>809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2005-11-03T16:20:00Z</dcterms:created>
  <dc:creator>华氏英雄</dc:creator>
  <cp:lastModifiedBy>林大宝</cp:lastModifiedBy>
  <cp:lastPrinted>2023-10-31T00:41:00Z</cp:lastPrinted>
  <dcterms:modified xsi:type="dcterms:W3CDTF">2024-04-01T01:13:57Z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4AAAFBE044CD4B029EFF88705DC0A936_13</vt:lpwstr>
  </property>
</Properties>
</file>