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沈阳科技学院试卷管理办法（修订）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沈科发〔2023〕320号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第一章 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第一条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试卷是重要的教学原始材料之一，是衡量教师教学效果和评定学生学习成绩的重要依据，也是教学水平评估检查的重要教学文件之一。为加强过程管理，规范试卷工作组织及管理，特制订本办法。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第二章  命题原则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科学性原则。试卷要有科学性和艺术性，能启发引导学生积极思维，有利于学生发扬创新精神和创新能力，命题准确。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难度适当原则。试卷总体难易程度合理，能够考查学生对所学课程的基本知识、基本理论、基本技能的理解与掌握程度，能考查学生分析、解决问题的能力，无偏题、怪题。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区分度较高原则。命题要以教学大纲为依据，以教材为基础，以教学内容为范围，以考查学生的实际水平和能力为出发点，在有限的时间内比较全面地考核学生对课程的掌握程度，有明显的区分度，成绩呈正态分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教考分离原则。鼓励通识教育课、学科基础课、专业核心课实行教考分离，积极推广使用试卷库。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第三章  命题计划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命题工作应由开课系（部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）根据具体情况成立考试命题小组，命题小组至少2人，一般由教学经验丰富、学术水平较高并且长期担任教学工作的教师组成，并保持相对稳定。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考试要目的明确，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  <w:lang w:eastAsia="zh-CN"/>
        </w:rPr>
        <w:t>须制定命题计划完成试卷编写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23232"/>
          <w:spacing w:val="0"/>
          <w:sz w:val="32"/>
          <w:szCs w:val="32"/>
          <w:u w:val="none"/>
          <w:shd w:val="clear" w:fill="FFFFFF"/>
        </w:rPr>
        <w:t>。命题方案要合理，科学，要按照教育目标分类各层次的要求来进行。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第八条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命题应以课程教学大纲规定的教学目标为依据，做到考核内容要覆盖大纲规定的基本内容。考核内容不允许超过大纲的范围，不出偏题、怪题。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命题时要综合考虑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的难易程度，既要注重考核学生的基础知识、基本理论和基本技能，又要注重考核学生的综合分析、理解和运用所学知识的能力，要注意难易搭配，题量适中，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命题时，题型要求多样化，至少应该包括四种以上题型，如：选择题、填空题、判断题、名词解释、简答题、计算题、论述题、案例分析、作文和其他等题型。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命题表述应简明、准确，图表、图片和数学表达式（或公式）必须要清晰、准确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，题目分值设定合理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题目所设分值应与知识点的重要性和难易程度相符。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命题的格式必须规范，符合《沈阳科技学院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模板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，同时应满足以下要求：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每门课程须同时拟定A、B两套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和评分标准。当学期A、B两套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的命题应在题量、题型及难易程度等方面基本一致，相同内容占每份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的总分值不得超过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命题内容与近两年同一课程的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内容重复率不得超过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%同时重复内容的分值不得超过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同一套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的命题内容之间不允许出现相互提示的现象，且题意明确、措辞准确，无语病和错别字。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</w:rPr>
        <w:t>课程考试时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u w:val="none"/>
        </w:rPr>
        <w:t>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u w:val="none"/>
          <w:lang w:eastAsia="zh-CN"/>
        </w:rPr>
        <w:t>原则上为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u w:val="none"/>
        </w:rPr>
        <w:t>0分钟。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  <w:t>采取上机考试的课程，命题教师应确保储存试卷的计算机或服务器的网络安全，并确保学生电脑答题的稳定性与安全性；做好学生电子试卷的保管工作，刻录光盘用于存档。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u w:val="none"/>
          <w:lang w:eastAsia="zh-CN"/>
        </w:rPr>
        <w:t>试卷样卷须用计算机打印，要求试卷内容（文字、图片、数值等）清晰。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第四章  命题审查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命题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审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工作须由系（部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）主任或教学主任负责组织、指导与监督，由各教研室主任（负责人）具体实施。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教研室主任与命题教师共同负责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命题质量，应重点检查命题内容是否符合命题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计划与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命题要求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，对不符合命题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计划与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命题要求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u w:val="none"/>
        </w:rPr>
        <w:t>，应给予及时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  <w:t>指导并要求命题教师限期完成更正和复审。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  <w:t>命题教师必须认真、仔细审查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  <w:t>内容确保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  <w:lang w:eastAsia="zh-CN"/>
        </w:rPr>
        <w:t>试卷</w:t>
      </w:r>
      <w:r>
        <w:rPr>
          <w:rFonts w:hint="eastAsia" w:ascii="仿宋_GB2312" w:hAnsi="仿宋_GB2312" w:eastAsia="仿宋_GB2312" w:cs="仿宋_GB2312"/>
          <w:b w:val="0"/>
          <w:bCs/>
          <w:color w:val="13152D"/>
          <w:kern w:val="0"/>
          <w:sz w:val="32"/>
          <w:szCs w:val="32"/>
          <w:highlight w:val="none"/>
          <w:u w:val="none"/>
        </w:rPr>
        <w:t>准确无误。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u w:val="none"/>
        </w:rPr>
        <w:t>教务处负责监督、协调与抽查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u w:val="none"/>
          <w:lang w:val="en-US" w:eastAsia="zh-CN" w:bidi="ar-SA"/>
        </w:rPr>
        <w:t>第五章  评阅要求及规范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阅卷、评分必须严肃认真，坚持公平、公正的原则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；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严格按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评分标准及参考答案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判卷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其中开放性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可根据学生作答内容在分数段内酌情评定分值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在阅卷过程中，须保证同一科目的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的阅卷规范一致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严禁随意加、减分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做到“客观公正，给分有据，宽严适度”，减少阅卷误差，杜绝人情分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阅卷过程中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一律使用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用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红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色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签字笔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不能用其他颜色的笔或者铅笔，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阅卷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记分数字必须书写工整，易于辨认。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批阅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时，每道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（包括每小题）应有批阅痕迹，卷面一般不得出现负分。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学生试卷已标记违纪、或作弊的不批阅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评阅尽量采用流水作业的方式（即每名阅卷教师只负责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中的一部分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），用统一的评分标准阅卷。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阅卷规范细则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选择、填空、判断等客观题型：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正确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</w:rPr>
        <w:t>“√”，错误的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</w:t>
      </w:r>
      <w:r>
        <w:rPr>
          <w:rFonts w:hint="eastAsia" w:ascii="仿宋_GB2312" w:hAnsi="仿宋_GB2312" w:eastAsia="仿宋_GB2312" w:cs="仿宋_GB2312"/>
          <w:sz w:val="32"/>
          <w:szCs w:val="32"/>
        </w:rPr>
        <w:t>“×”，不得画斜线或其它符号。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简答题、计算题、绘图题等主观题型，统一采取得分制，每题只标记得分不标记减分；如题目无得分点（或空白卷），在答题处划“×”,得分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“0”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主观题小题得分写在小题题号左上角；大题得分要与每道小题得分之和相符；大题得分写在大题题号左上角。每道大题的得分应清楚地标注在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</w:rPr>
        <w:t>首页相应题号的得分栏中，总分合计要准确无误。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textAlignment w:val="auto"/>
        <w:rPr>
          <w:rStyle w:val="8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阅卷记录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表中，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每道题的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阅卷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人、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核分人复核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人须签字。签名处须填写规范，盖章视为无效，应填写姓名全称，签名不得超出方框。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textAlignment w:val="auto"/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第二十三条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试卷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评阅中尽量不要有更改分数现象，如确需更改，要有更改人签字（用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红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色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签字笔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在修改处签字）。对大面积更改分数的现象，须附文字说明，并由相关阅卷教师及教研室主任签字。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第二十四条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阅卷工作须在课程考试结束后5个工作日内完成，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通识基础课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须在1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个工作日内完成，并将成绩录入教务管理系统中。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eastAsia="zh-CN"/>
        </w:rPr>
        <w:t>第六章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试卷分析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考试结果分析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各课程阅卷结束后要依据考试试卷卷面成绩进行试卷分析，根据分析结果，总结经验，修订和改进教学方法。对于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通识教育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课等统考课程要进行所有参加考试学生的总体成绩分析，对存在的问题要有总体分析和单班分析。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成绩分布模块的内容，包括试卷成绩正态分布直方图、样本数、均值（平均分）、方差等指标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学习目标分项目评价。按课程大纲的要求，将对应学习目标的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</w:rPr>
        <w:t>得分情况进行汇总统计。如对应学习目标1的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，统计学生的平均成绩，在均上占比（平均分以上的占比）等数据。此项指标可评价课程学习目标的达成度。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改进意见及教学思考。教师改进教的建议，可从课程大纲设计调整和课堂执行改进两方面考虑，在若干环节可改进增强；学生改进学的建议，从课堂听课和课外作业两方面，在若干环节改进增强。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 xml:space="preserve">第七章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试卷保管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试卷分析材料和试卷由任课教师按要求归档后，交各系（部院）存档保存。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第八章  附 则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本办法自2024年2月起施行，由教务处负责解释。</w:t>
      </w:r>
    </w:p>
    <w:sectPr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833AFD-864D-4046-B3E8-96F80DC4BB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77B6696-617E-4993-BDF5-AD548EA40A0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52E441-6B28-41D7-BA6C-EC79345F2A5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AD2A7"/>
    <w:multiLevelType w:val="singleLevel"/>
    <w:tmpl w:val="A41AD2A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04A955D"/>
    <w:multiLevelType w:val="singleLevel"/>
    <w:tmpl w:val="E04A955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6844CFC"/>
    <w:multiLevelType w:val="singleLevel"/>
    <w:tmpl w:val="16844C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000000"/>
    <w:rsid w:val="01CC0A40"/>
    <w:rsid w:val="037B18C0"/>
    <w:rsid w:val="03831639"/>
    <w:rsid w:val="0A612BD0"/>
    <w:rsid w:val="0BA6459D"/>
    <w:rsid w:val="0C7374D3"/>
    <w:rsid w:val="11915AE2"/>
    <w:rsid w:val="139256A2"/>
    <w:rsid w:val="181F7475"/>
    <w:rsid w:val="1F8862B5"/>
    <w:rsid w:val="21D458D1"/>
    <w:rsid w:val="22655876"/>
    <w:rsid w:val="229352AF"/>
    <w:rsid w:val="23B72086"/>
    <w:rsid w:val="23E77BB6"/>
    <w:rsid w:val="2574155D"/>
    <w:rsid w:val="2A3C52CE"/>
    <w:rsid w:val="2A4A7280"/>
    <w:rsid w:val="2F333C38"/>
    <w:rsid w:val="2F8D6340"/>
    <w:rsid w:val="30D760F0"/>
    <w:rsid w:val="31DF11DA"/>
    <w:rsid w:val="31E0281A"/>
    <w:rsid w:val="35E2073C"/>
    <w:rsid w:val="36C75F76"/>
    <w:rsid w:val="3A6456CA"/>
    <w:rsid w:val="3AB952FB"/>
    <w:rsid w:val="3ACC4DEC"/>
    <w:rsid w:val="3B0D5BB4"/>
    <w:rsid w:val="3CF22E0E"/>
    <w:rsid w:val="41D01594"/>
    <w:rsid w:val="43CC730E"/>
    <w:rsid w:val="478E2BCC"/>
    <w:rsid w:val="4E2E2135"/>
    <w:rsid w:val="4E2F628D"/>
    <w:rsid w:val="4F9B4D5A"/>
    <w:rsid w:val="5022176E"/>
    <w:rsid w:val="52FE3561"/>
    <w:rsid w:val="533E5331"/>
    <w:rsid w:val="58534973"/>
    <w:rsid w:val="58AF21A7"/>
    <w:rsid w:val="598B68D3"/>
    <w:rsid w:val="59EE77DC"/>
    <w:rsid w:val="5C156B1B"/>
    <w:rsid w:val="5DA916B5"/>
    <w:rsid w:val="5FB66379"/>
    <w:rsid w:val="61102E52"/>
    <w:rsid w:val="656B50DD"/>
    <w:rsid w:val="6D4F2026"/>
    <w:rsid w:val="70AF6AF7"/>
    <w:rsid w:val="72DF341B"/>
    <w:rsid w:val="74356136"/>
    <w:rsid w:val="74B86C61"/>
    <w:rsid w:val="75A967E3"/>
    <w:rsid w:val="78C7123F"/>
    <w:rsid w:val="7A752A91"/>
    <w:rsid w:val="7CF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7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2023-10-13T08:42:00Z</dcterms:created>
  <dc:creator>Administrator</dc:creator>
  <cp:lastModifiedBy>WPS_390281945</cp:lastModifiedBy>
  <cp:lastPrinted>2023-10-13T09:06:00Z</cp:lastPrinted>
  <dcterms:modified xsi:type="dcterms:W3CDTF">2024-04-12T06:05:08Z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36BB887335264497904FD25F2A47685E_12</vt:lpwstr>
  </property>
</Properties>
</file>