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沈阳科技学院</w:t>
      </w:r>
      <w:bookmarkStart w:id="0" w:name="_GoBack"/>
      <w:bookmarkEnd w:id="0"/>
      <w:r>
        <w:rPr>
          <w:rFonts w:hint="eastAsia" w:ascii="方正小标宋简体" w:hAnsi="方正小标宋简体" w:eastAsia="方正小标宋简体" w:cs="方正小标宋简体"/>
          <w:sz w:val="44"/>
          <w:szCs w:val="44"/>
        </w:rPr>
        <w:t>本科专业人才培养方案管理办法（修订）</w:t>
      </w:r>
    </w:p>
    <w:p>
      <w:pPr>
        <w:keepNext w:val="0"/>
        <w:keepLines w:val="0"/>
        <w:pageBreakBefore w:val="0"/>
        <w:widowControl w:val="0"/>
        <w:kinsoku/>
        <w:wordWrap/>
        <w:overflowPunct/>
        <w:topLinePunct w:val="0"/>
        <w:autoSpaceDE/>
        <w:autoSpaceDN/>
        <w:bidi w:val="0"/>
        <w:adjustRightInd w:val="0"/>
        <w:snapToGrid w:val="0"/>
        <w:spacing w:before="156" w:beforeLines="50" w:line="560" w:lineRule="exact"/>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沈科发〔2023〕236 号</w:t>
      </w:r>
    </w:p>
    <w:p>
      <w:pPr>
        <w:keepNext w:val="0"/>
        <w:keepLines w:val="0"/>
        <w:pageBreakBefore w:val="0"/>
        <w:widowControl w:val="0"/>
        <w:kinsoku/>
        <w:wordWrap/>
        <w:overflowPunct/>
        <w:topLinePunct w:val="0"/>
        <w:autoSpaceDE/>
        <w:autoSpaceDN/>
        <w:bidi w:val="0"/>
        <w:adjustRightInd w:val="0"/>
        <w:snapToGrid w:val="0"/>
        <w:spacing w:before="156" w:beforeLines="50" w:line="560" w:lineRule="exact"/>
        <w:jc w:val="center"/>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方正仿宋_GB2312"/>
          <w:bCs/>
          <w:sz w:val="32"/>
          <w:szCs w:val="32"/>
        </w:rPr>
      </w:pPr>
      <w:r>
        <w:rPr>
          <w:rFonts w:hint="eastAsia" w:ascii="黑体" w:hAnsi="黑体" w:eastAsia="黑体" w:cs="方正仿宋_GB2312"/>
          <w:bCs/>
          <w:sz w:val="32"/>
          <w:szCs w:val="32"/>
        </w:rPr>
        <w:t>第一章</w:t>
      </w:r>
      <w:r>
        <w:rPr>
          <w:rFonts w:hint="eastAsia" w:ascii="黑体" w:hAnsi="黑体" w:eastAsia="黑体" w:cs="方正仿宋_GB2312"/>
          <w:bCs/>
          <w:sz w:val="32"/>
          <w:szCs w:val="32"/>
          <w:lang w:val="en-US" w:eastAsia="zh-CN"/>
        </w:rPr>
        <w:t xml:space="preserve">  </w:t>
      </w:r>
      <w:r>
        <w:rPr>
          <w:rFonts w:hint="eastAsia" w:ascii="黑体" w:hAnsi="黑体" w:eastAsia="黑体" w:cs="方正仿宋_GB2312"/>
          <w:bCs/>
          <w:sz w:val="32"/>
          <w:szCs w:val="32"/>
        </w:rPr>
        <w:t>总</w:t>
      </w:r>
      <w:r>
        <w:rPr>
          <w:rFonts w:hint="eastAsia" w:ascii="黑体" w:hAnsi="黑体" w:eastAsia="黑体" w:cs="方正仿宋_GB2312"/>
          <w:bCs/>
          <w:sz w:val="32"/>
          <w:szCs w:val="32"/>
          <w:lang w:val="en-US" w:eastAsia="zh-CN"/>
        </w:rPr>
        <w:t xml:space="preserve"> </w:t>
      </w:r>
      <w:r>
        <w:rPr>
          <w:rFonts w:hint="eastAsia" w:ascii="黑体" w:hAnsi="黑体" w:eastAsia="黑体" w:cs="方正仿宋_GB2312"/>
          <w:bCs/>
          <w:sz w:val="32"/>
          <w:szCs w:val="32"/>
        </w:rPr>
        <w:t>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第一条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本科专业人才培养方案是高等学校人才培养工作的总体设计和纲领性文件，是保证学校教育教学质量和人才培养规格的基本教学文件，是实现人才培养目标的根本遵循，是安排教学内容、组织教学活动及落实人才培养过程及其他环节的基本依据，其制订（修订）、执行和变更是高等学校最重要的教学立法和执法活动之一，必须按严格的规范和程序进行。</w:t>
      </w:r>
      <w:r>
        <w:rPr>
          <w:rFonts w:hint="eastAsia" w:ascii="仿宋_GB2312" w:hAnsi="方正仿宋_GB2312" w:eastAsia="仿宋_GB2312" w:cs="方正仿宋_GB2312"/>
          <w:bCs/>
          <w:sz w:val="32"/>
          <w:szCs w:val="32"/>
        </w:rPr>
        <w:cr/>
      </w:r>
      <w:r>
        <w:rPr>
          <w:rFonts w:ascii="仿宋_GB2312" w:hAnsi="方正仿宋_GB2312" w:eastAsia="仿宋_GB2312" w:cs="方正仿宋_GB2312"/>
          <w:bCs/>
          <w:sz w:val="32"/>
          <w:szCs w:val="32"/>
        </w:rPr>
        <w:t xml:space="preserve">    </w:t>
      </w:r>
      <w:r>
        <w:rPr>
          <w:rFonts w:hint="eastAsia" w:ascii="仿宋_GB2312" w:hAnsi="方正仿宋_GB2312" w:eastAsia="仿宋_GB2312" w:cs="方正仿宋_GB2312"/>
          <w:b/>
          <w:bCs/>
          <w:sz w:val="32"/>
          <w:szCs w:val="32"/>
        </w:rPr>
        <w:t>第二条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为全面贯彻党的教育方针，牢记为党育人、为国育才使命，准确把握高等教育教学基本规律和人才成长规律，为提高人才培养方案的制定与管理水平，保证人才培养方案的科学性与相对稳定性，确保教学质量，特制定本办法。</w:t>
      </w:r>
    </w:p>
    <w:p>
      <w:pPr>
        <w:adjustRightInd w:val="0"/>
        <w:snapToGrid w:val="0"/>
        <w:spacing w:line="560" w:lineRule="exact"/>
        <w:jc w:val="center"/>
        <w:rPr>
          <w:rFonts w:ascii="黑体" w:hAnsi="黑体" w:eastAsia="黑体" w:cs="方正仿宋_GB2312"/>
          <w:bCs/>
          <w:sz w:val="32"/>
          <w:szCs w:val="32"/>
        </w:rPr>
      </w:pPr>
      <w:r>
        <w:rPr>
          <w:rFonts w:hint="eastAsia" w:ascii="黑体" w:hAnsi="黑体" w:eastAsia="黑体" w:cs="方正仿宋_GB2312"/>
          <w:bCs/>
          <w:sz w:val="32"/>
          <w:szCs w:val="32"/>
        </w:rPr>
        <w:t>第二章</w:t>
      </w:r>
      <w:r>
        <w:rPr>
          <w:rFonts w:hint="eastAsia" w:ascii="黑体" w:hAnsi="黑体" w:eastAsia="黑体" w:cs="方正仿宋_GB2312"/>
          <w:bCs/>
          <w:sz w:val="32"/>
          <w:szCs w:val="32"/>
          <w:lang w:val="en-US" w:eastAsia="zh-CN"/>
        </w:rPr>
        <w:t xml:space="preserve">  </w:t>
      </w:r>
      <w:r>
        <w:rPr>
          <w:rFonts w:hint="eastAsia" w:ascii="黑体" w:hAnsi="黑体" w:eastAsia="黑体" w:cs="方正仿宋_GB2312"/>
          <w:bCs/>
          <w:sz w:val="32"/>
          <w:szCs w:val="32"/>
        </w:rPr>
        <w:t>培养方案的制订</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第三条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本科专业人才培养方案的制订，应在主管校长的领导下，由教务处牵头组织，各系（部院）执行。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第四条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制订本科专业人才培养方案的工作程序: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1</w:t>
      </w:r>
      <w:r>
        <w:rPr>
          <w:rFonts w:ascii="仿宋_GB2312" w:hAnsi="方正仿宋_GB2312" w:eastAsia="仿宋_GB2312" w:cs="方正仿宋_GB2312"/>
          <w:bCs/>
          <w:sz w:val="32"/>
          <w:szCs w:val="32"/>
        </w:rPr>
        <w:t>.</w:t>
      </w:r>
      <w:r>
        <w:rPr>
          <w:rFonts w:hint="eastAsia" w:ascii="仿宋_GB2312" w:hAnsi="方正仿宋_GB2312" w:eastAsia="仿宋_GB2312" w:cs="方正仿宋_GB2312"/>
          <w:bCs/>
          <w:sz w:val="32"/>
          <w:szCs w:val="32"/>
        </w:rPr>
        <w:t>教务处组织制定学校本科专业人才培养方案的原则性指导意见及具体工作要求,经校长办公会通过，以学校文件形式印发;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2</w:t>
      </w:r>
      <w:r>
        <w:rPr>
          <w:rFonts w:ascii="仿宋_GB2312" w:hAnsi="方正仿宋_GB2312" w:eastAsia="仿宋_GB2312" w:cs="方正仿宋_GB2312"/>
          <w:bCs/>
          <w:sz w:val="32"/>
          <w:szCs w:val="32"/>
        </w:rPr>
        <w:t>.</w:t>
      </w:r>
      <w:r>
        <w:rPr>
          <w:rFonts w:hint="eastAsia" w:ascii="仿宋_GB2312" w:hAnsi="方正仿宋_GB2312" w:eastAsia="仿宋_GB2312" w:cs="方正仿宋_GB2312"/>
          <w:bCs/>
          <w:sz w:val="32"/>
          <w:szCs w:val="32"/>
        </w:rPr>
        <w:t>各系部根据本科专业人才培养方案的原则性指导意见及要求，组织相关专业教师，在广泛调研论证的基础上，按照规范的格式编制本专业的培养方案。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3</w:t>
      </w:r>
      <w:r>
        <w:rPr>
          <w:rFonts w:ascii="仿宋_GB2312" w:hAnsi="方正仿宋_GB2312" w:eastAsia="仿宋_GB2312" w:cs="方正仿宋_GB2312"/>
          <w:bCs/>
          <w:sz w:val="32"/>
          <w:szCs w:val="32"/>
        </w:rPr>
        <w:t>.</w:t>
      </w:r>
      <w:r>
        <w:rPr>
          <w:rFonts w:hint="eastAsia" w:ascii="仿宋_GB2312" w:hAnsi="方正仿宋_GB2312" w:eastAsia="仿宋_GB2312" w:cs="方正仿宋_GB2312"/>
          <w:bCs/>
          <w:sz w:val="32"/>
          <w:szCs w:val="32"/>
        </w:rPr>
        <w:t>各系部聘请专家对各专业培养方案进行审议、修改，并经系部教学指导分委员会审定后报教务处;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4</w:t>
      </w:r>
      <w:r>
        <w:rPr>
          <w:rFonts w:ascii="仿宋_GB2312" w:hAnsi="方正仿宋_GB2312" w:eastAsia="仿宋_GB2312" w:cs="方正仿宋_GB2312"/>
          <w:bCs/>
          <w:sz w:val="32"/>
          <w:szCs w:val="32"/>
        </w:rPr>
        <w:t>.</w:t>
      </w:r>
      <w:r>
        <w:rPr>
          <w:rFonts w:hint="eastAsia" w:ascii="仿宋_GB2312" w:hAnsi="方正仿宋_GB2312" w:eastAsia="仿宋_GB2312" w:cs="方正仿宋_GB2312"/>
          <w:bCs/>
          <w:sz w:val="32"/>
          <w:szCs w:val="32"/>
        </w:rPr>
        <w:t>教务处组织对各系部报送的本科专业人才培养方案开展审核工作，并反馈修改意见，各系部按要求修改定稿后报教务处。由教务处报校教学指导委员会论证后颁布执行。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第五条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本科专业人才培养方案的论证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1</w:t>
      </w:r>
      <w:r>
        <w:rPr>
          <w:rFonts w:ascii="仿宋_GB2312" w:hAnsi="方正仿宋_GB2312" w:eastAsia="仿宋_GB2312" w:cs="方正仿宋_GB2312"/>
          <w:bCs/>
          <w:sz w:val="32"/>
          <w:szCs w:val="32"/>
        </w:rPr>
        <w:t>.</w:t>
      </w:r>
      <w:r>
        <w:rPr>
          <w:rFonts w:hint="eastAsia" w:ascii="仿宋_GB2312" w:hAnsi="方正仿宋_GB2312" w:eastAsia="仿宋_GB2312" w:cs="方正仿宋_GB2312"/>
          <w:bCs/>
          <w:sz w:val="32"/>
          <w:szCs w:val="32"/>
        </w:rPr>
        <w:t>论证专家组人员组成：要有行业企业的参与，还应包括用人单位、其它高校或科研院所的专家和相关教师、毕业生等。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2</w:t>
      </w:r>
      <w:r>
        <w:rPr>
          <w:rFonts w:ascii="仿宋_GB2312" w:hAnsi="方正仿宋_GB2312" w:eastAsia="仿宋_GB2312" w:cs="方正仿宋_GB2312"/>
          <w:bCs/>
          <w:sz w:val="32"/>
          <w:szCs w:val="32"/>
        </w:rPr>
        <w:t>.</w:t>
      </w:r>
      <w:r>
        <w:rPr>
          <w:rFonts w:hint="eastAsia" w:ascii="仿宋_GB2312" w:hAnsi="方正仿宋_GB2312" w:eastAsia="仿宋_GB2312" w:cs="方正仿宋_GB2312"/>
          <w:bCs/>
          <w:sz w:val="32"/>
          <w:szCs w:val="32"/>
        </w:rPr>
        <w:t>论证专家主要职责：了解相关专业的社会需求状况，评议人才培养目标、要求及课程体系、课程教学内容是否与社会需求相结合，为教学管理改革决策提供咨询意见和建议。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3</w:t>
      </w:r>
      <w:r>
        <w:rPr>
          <w:rFonts w:ascii="仿宋_GB2312" w:hAnsi="方正仿宋_GB2312" w:eastAsia="仿宋_GB2312" w:cs="方正仿宋_GB2312"/>
          <w:bCs/>
          <w:sz w:val="32"/>
          <w:szCs w:val="32"/>
        </w:rPr>
        <w:t>.</w:t>
      </w:r>
      <w:r>
        <w:rPr>
          <w:rFonts w:hint="eastAsia" w:ascii="仿宋_GB2312" w:hAnsi="方正仿宋_GB2312" w:eastAsia="仿宋_GB2312" w:cs="方正仿宋_GB2312"/>
          <w:bCs/>
          <w:sz w:val="32"/>
          <w:szCs w:val="32"/>
        </w:rPr>
        <w:t>论证方式：可召开论证会、座谈会等，邀请专家进校考察论证；亦可用通讯方式，将纸质或电子版材料发给相关人士评阅。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4</w:t>
      </w:r>
      <w:r>
        <w:rPr>
          <w:rFonts w:ascii="仿宋_GB2312" w:hAnsi="方正仿宋_GB2312" w:eastAsia="仿宋_GB2312" w:cs="方正仿宋_GB2312"/>
          <w:bCs/>
          <w:sz w:val="32"/>
          <w:szCs w:val="32"/>
        </w:rPr>
        <w:t>.</w:t>
      </w:r>
      <w:r>
        <w:rPr>
          <w:rFonts w:hint="eastAsia" w:ascii="仿宋_GB2312" w:hAnsi="方正仿宋_GB2312" w:eastAsia="仿宋_GB2312" w:cs="方正仿宋_GB2312"/>
          <w:bCs/>
          <w:sz w:val="32"/>
          <w:szCs w:val="32"/>
        </w:rPr>
        <w:t>各系部应高度重视本科专业人才培养方案论证工作，论证结果系部负责保存，并且作为今后修订培养方案，完善课程体系和教学内容的重要参考依据。</w:t>
      </w:r>
    </w:p>
    <w:p>
      <w:pPr>
        <w:adjustRightInd w:val="0"/>
        <w:snapToGrid w:val="0"/>
        <w:spacing w:before="156" w:beforeLines="50" w:after="156" w:afterLines="50" w:line="560" w:lineRule="exact"/>
        <w:jc w:val="center"/>
        <w:rPr>
          <w:rFonts w:ascii="黑体" w:hAnsi="黑体" w:eastAsia="黑体" w:cs="方正仿宋_GB2312"/>
          <w:bCs/>
          <w:sz w:val="32"/>
          <w:szCs w:val="32"/>
        </w:rPr>
      </w:pPr>
      <w:r>
        <w:rPr>
          <w:rFonts w:hint="eastAsia" w:ascii="黑体" w:hAnsi="黑体" w:eastAsia="黑体" w:cs="方正仿宋_GB2312"/>
          <w:bCs/>
          <w:sz w:val="32"/>
          <w:szCs w:val="32"/>
        </w:rPr>
        <w:t>第三章</w:t>
      </w:r>
      <w:r>
        <w:rPr>
          <w:rFonts w:hint="eastAsia" w:ascii="黑体" w:hAnsi="黑体" w:eastAsia="黑体" w:cs="方正仿宋_GB2312"/>
          <w:bCs/>
          <w:sz w:val="32"/>
          <w:szCs w:val="32"/>
          <w:lang w:val="en-US" w:eastAsia="zh-CN"/>
        </w:rPr>
        <w:t xml:space="preserve">  </w:t>
      </w:r>
      <w:r>
        <w:rPr>
          <w:rFonts w:hint="eastAsia" w:ascii="黑体" w:hAnsi="黑体" w:eastAsia="黑体" w:cs="方正仿宋_GB2312"/>
          <w:bCs/>
          <w:sz w:val="32"/>
          <w:szCs w:val="32"/>
        </w:rPr>
        <w:t>培养方案的执行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第六条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经批准的本科专业人才培养方案，由教务处和各系（部院）负责组织执行。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第七条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人才培养方案中规定的教学任务，必须严格执行。教学任务按学科性质和课程所属由相关教学单位归口承担，教务处负责划分和协调。任何教学单位都不可单方面安排课程归属不在本教学单位的教学任务。特殊情况可在教务处主持下，相关教学单位协商解决教学任务的归口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第八条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各教学单位负责组织教师编写各门课程教学大纲、实践教学大纲和各类教学指导书，并组织审定。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第九条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本科专业人才培养方案一经颁布执行，由各系部负责通过教务管理系统做好专业培养方案的录入工作，保证教学计划的顺利执行。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第十条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执行人才培养方案的工作程序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1.各教学单位要根据本科专业人才培养方案提出下一学期教学计划方案，并报至教务处。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2.教务处负责审核，并提出实施建议反馈到各教学单位。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3.教务处审核后，将教学任务书发至各教学单位。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4.各教学单位将填写好任课教师和相关信息的教学任务书返回至教务处。教务处组织各系部据此安排各课程的教学时间和地点，形成下一学期课程表。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5.任课教师根据课程教学大纲，在正式上课前编制好本课程的教学日历，经教研室主任、分管教学主任批准后执行。在本科专业人才培养方案执行过程中，各教学单位必须根据本科专业人才培养方案落实每一门课程的教师、教学大纲、教材及必要的教学条件，安排好各教学环节，并据此进行教学管理。人才培养方案中设置的课程和环节名称、学时、开课学期及课程编号等，任何单位和个人未经教务处同意不得变更。</w:t>
      </w:r>
    </w:p>
    <w:p>
      <w:pPr>
        <w:adjustRightInd w:val="0"/>
        <w:snapToGrid w:val="0"/>
        <w:spacing w:before="156" w:beforeLines="50" w:after="156" w:afterLines="50" w:line="560" w:lineRule="exact"/>
        <w:jc w:val="center"/>
        <w:rPr>
          <w:rFonts w:ascii="黑体" w:hAnsi="黑体" w:eastAsia="黑体" w:cs="方正仿宋_GB2312"/>
          <w:bCs/>
          <w:sz w:val="32"/>
          <w:szCs w:val="32"/>
        </w:rPr>
      </w:pPr>
      <w:r>
        <w:rPr>
          <w:rFonts w:hint="eastAsia" w:ascii="黑体" w:hAnsi="黑体" w:eastAsia="黑体" w:cs="方正仿宋_GB2312"/>
          <w:bCs/>
          <w:sz w:val="32"/>
          <w:szCs w:val="32"/>
        </w:rPr>
        <w:t>第四章</w:t>
      </w:r>
      <w:r>
        <w:rPr>
          <w:rFonts w:hint="eastAsia" w:ascii="黑体" w:hAnsi="黑体" w:eastAsia="黑体" w:cs="方正仿宋_GB2312"/>
          <w:bCs/>
          <w:sz w:val="32"/>
          <w:szCs w:val="32"/>
          <w:lang w:val="en-US" w:eastAsia="zh-CN"/>
        </w:rPr>
        <w:t xml:space="preserve">  </w:t>
      </w:r>
      <w:r>
        <w:rPr>
          <w:rFonts w:hint="eastAsia" w:ascii="黑体" w:hAnsi="黑体" w:eastAsia="黑体" w:cs="方正仿宋_GB2312"/>
          <w:bCs/>
          <w:sz w:val="32"/>
          <w:szCs w:val="32"/>
        </w:rPr>
        <w:t>培养方案的修订和调整</w:t>
      </w:r>
    </w:p>
    <w:p>
      <w:pPr>
        <w:adjustRightInd w:val="0"/>
        <w:snapToGrid w:val="0"/>
        <w:spacing w:line="560" w:lineRule="exact"/>
        <w:ind w:firstLine="643" w:firstLineChars="200"/>
        <w:jc w:val="left"/>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第十一条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本科专业人才培养方案要保持相对稳定性。若社会发展、经济政治形势发生变化，学校办学方向、专业培养目标进行调整时，则须对已有专业的人才培养方案进行修订。一般每四年全面修订一次，每两年做一次微调。若人才培养方案确需修订，按下列办法进行：</w:t>
      </w:r>
    </w:p>
    <w:p>
      <w:pPr>
        <w:adjustRightInd w:val="0"/>
        <w:snapToGrid w:val="0"/>
        <w:spacing w:line="560" w:lineRule="exact"/>
        <w:ind w:firstLine="640" w:firstLineChars="200"/>
        <w:jc w:val="left"/>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1.各教学单位在专业人才培养方案执行过程中，若需对个别课程或环节进行调整，如个别课程或环节的学时变化、课程顺序的调整等，须在前一学期安排教学计划前提出申请，填写教务处统一印制的《</w:t>
      </w:r>
      <w:r>
        <w:rPr>
          <w:rFonts w:hint="eastAsia" w:ascii="仿宋_GB2312" w:hAnsi="方正仿宋_GB2312" w:eastAsia="仿宋_GB2312" w:cs="方正仿宋_GB2312"/>
          <w:bCs/>
          <w:sz w:val="32"/>
          <w:szCs w:val="32"/>
          <w:lang w:eastAsia="zh-CN"/>
        </w:rPr>
        <w:t>教学计划变更申请</w:t>
      </w:r>
      <w:r>
        <w:rPr>
          <w:rFonts w:hint="eastAsia" w:ascii="仿宋_GB2312" w:hAnsi="方正仿宋_GB2312" w:eastAsia="仿宋_GB2312" w:cs="方正仿宋_GB2312"/>
          <w:bCs/>
          <w:sz w:val="32"/>
          <w:szCs w:val="32"/>
        </w:rPr>
        <w:t>表》,说明调整的原因和调整的方案，并由教学单位负责人签字和盖章后报教务处，教务处审核签署审批意见后，方可按审批意见进行调整。</w:t>
      </w:r>
    </w:p>
    <w:p>
      <w:pPr>
        <w:adjustRightInd w:val="0"/>
        <w:snapToGrid w:val="0"/>
        <w:spacing w:line="560" w:lineRule="exact"/>
        <w:ind w:firstLine="640" w:firstLineChars="200"/>
        <w:jc w:val="left"/>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2.各教学单位若对人才培养方案做较大范围的调整，如课程设置、学时分配、开课顺序调整、课程的删减、增加、置换等，须在确定执行前两个月，由教学单位组织论证并提交书面论证报告，经教务处和主管教学校领导批准后方可生效并执行。</w:t>
      </w:r>
    </w:p>
    <w:p>
      <w:pPr>
        <w:adjustRightInd w:val="0"/>
        <w:snapToGrid w:val="0"/>
        <w:spacing w:line="560" w:lineRule="exact"/>
        <w:ind w:firstLine="640" w:firstLineChars="200"/>
        <w:jc w:val="left"/>
        <w:rPr>
          <w:rFonts w:ascii="仿宋_GB2312" w:hAnsi="方正仿宋_GB2312" w:eastAsia="仿宋_GB2312" w:cs="方正仿宋_GB2312"/>
          <w:bCs/>
          <w:sz w:val="32"/>
          <w:szCs w:val="32"/>
        </w:rPr>
      </w:pPr>
      <w:r>
        <w:rPr>
          <w:rFonts w:hint="eastAsia" w:ascii="仿宋_GB2312" w:hAnsi="方正仿宋_GB2312" w:eastAsia="仿宋_GB2312" w:cs="方正仿宋_GB2312"/>
          <w:bCs/>
          <w:sz w:val="32"/>
          <w:szCs w:val="32"/>
        </w:rPr>
        <w:t>3.因调整人才培养方案涉及到其它教学单位或环节的有关问题，由提出计划调整的教学部门负责联系解决，并将有关解决方案报教务处备案。</w:t>
      </w:r>
    </w:p>
    <w:p>
      <w:pPr>
        <w:adjustRightInd w:val="0"/>
        <w:snapToGrid w:val="0"/>
        <w:spacing w:line="560" w:lineRule="exact"/>
        <w:ind w:firstLine="643" w:firstLineChars="200"/>
        <w:jc w:val="left"/>
        <w:rPr>
          <w:rFonts w:ascii="仿宋_GB2312" w:hAnsi="方正仿宋_GB2312" w:eastAsia="仿宋_GB2312" w:cs="方正仿宋_GB2312"/>
          <w:bCs/>
          <w:sz w:val="32"/>
          <w:szCs w:val="32"/>
        </w:rPr>
      </w:pPr>
      <w:r>
        <w:rPr>
          <w:rFonts w:hint="eastAsia" w:ascii="仿宋_GB2312" w:hAnsi="方正仿宋_GB2312" w:eastAsia="仿宋_GB2312" w:cs="方正仿宋_GB2312"/>
          <w:b/>
          <w:bCs/>
          <w:sz w:val="32"/>
          <w:szCs w:val="32"/>
        </w:rPr>
        <w:t>第十二条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对随意变动、更改人才培养方案及未履行相应的变更手续而自行变更教学安排的，按教学事故处理。</w:t>
      </w:r>
    </w:p>
    <w:p>
      <w:pPr>
        <w:adjustRightInd w:val="0"/>
        <w:snapToGrid w:val="0"/>
        <w:spacing w:line="560" w:lineRule="exact"/>
        <w:jc w:val="center"/>
        <w:rPr>
          <w:rFonts w:ascii="黑体" w:hAnsi="黑体" w:eastAsia="黑体" w:cs="方正仿宋_GB2312"/>
          <w:bCs/>
          <w:sz w:val="32"/>
          <w:szCs w:val="32"/>
        </w:rPr>
      </w:pPr>
      <w:r>
        <w:rPr>
          <w:rFonts w:hint="eastAsia" w:ascii="黑体" w:hAnsi="黑体" w:eastAsia="黑体" w:cs="方正仿宋_GB2312"/>
          <w:bCs/>
          <w:sz w:val="32"/>
          <w:szCs w:val="32"/>
        </w:rPr>
        <w:t>第五章</w:t>
      </w:r>
      <w:r>
        <w:rPr>
          <w:rFonts w:hint="eastAsia" w:ascii="黑体" w:hAnsi="黑体" w:eastAsia="黑体" w:cs="方正仿宋_GB2312"/>
          <w:bCs/>
          <w:sz w:val="32"/>
          <w:szCs w:val="32"/>
          <w:lang w:val="en-US" w:eastAsia="zh-CN"/>
        </w:rPr>
        <w:t xml:space="preserve">  </w:t>
      </w:r>
      <w:r>
        <w:rPr>
          <w:rFonts w:hint="eastAsia" w:ascii="黑体" w:hAnsi="黑体" w:eastAsia="黑体" w:cs="方正仿宋_GB2312"/>
          <w:bCs/>
          <w:sz w:val="32"/>
          <w:szCs w:val="32"/>
        </w:rPr>
        <w:t>附</w:t>
      </w:r>
      <w:r>
        <w:rPr>
          <w:rFonts w:hint="eastAsia" w:ascii="黑体" w:hAnsi="黑体" w:eastAsia="黑体" w:cs="方正仿宋_GB2312"/>
          <w:bCs/>
          <w:sz w:val="32"/>
          <w:szCs w:val="32"/>
          <w:lang w:val="en-US" w:eastAsia="zh-CN"/>
        </w:rPr>
        <w:t xml:space="preserve"> </w:t>
      </w:r>
      <w:r>
        <w:rPr>
          <w:rFonts w:hint="eastAsia" w:ascii="黑体" w:hAnsi="黑体" w:eastAsia="黑体" w:cs="方正仿宋_GB2312"/>
          <w:bCs/>
          <w:sz w:val="32"/>
          <w:szCs w:val="32"/>
        </w:rPr>
        <w:t>则</w:t>
      </w:r>
    </w:p>
    <w:p>
      <w:pPr>
        <w:adjustRightInd w:val="0"/>
        <w:snapToGrid w:val="0"/>
        <w:spacing w:line="560" w:lineRule="exact"/>
        <w:ind w:firstLine="643"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方正仿宋_GB2312" w:eastAsia="仿宋_GB2312" w:cs="方正仿宋_GB2312"/>
          <w:b/>
          <w:bCs/>
          <w:sz w:val="32"/>
          <w:szCs w:val="32"/>
        </w:rPr>
        <w:t>第十</w:t>
      </w:r>
      <w:r>
        <w:rPr>
          <w:rFonts w:hint="eastAsia" w:ascii="仿宋_GB2312" w:hAnsi="方正仿宋_GB2312" w:eastAsia="仿宋_GB2312" w:cs="方正仿宋_GB2312"/>
          <w:b/>
          <w:bCs/>
          <w:sz w:val="32"/>
          <w:szCs w:val="32"/>
          <w:lang w:eastAsia="zh-CN"/>
        </w:rPr>
        <w:t>三</w:t>
      </w:r>
      <w:r>
        <w:rPr>
          <w:rFonts w:hint="eastAsia" w:ascii="仿宋_GB2312" w:hAnsi="方正仿宋_GB2312" w:eastAsia="仿宋_GB2312" w:cs="方正仿宋_GB2312"/>
          <w:b/>
          <w:bCs/>
          <w:sz w:val="32"/>
          <w:szCs w:val="32"/>
        </w:rPr>
        <w:t>条</w:t>
      </w:r>
      <w:r>
        <w:rPr>
          <w:rFonts w:hint="eastAsia" w:ascii="仿宋_GB2312" w:hAnsi="方正仿宋_GB2312" w:eastAsia="仿宋_GB2312" w:cs="方正仿宋_GB2312"/>
          <w:bCs/>
          <w:sz w:val="32"/>
          <w:szCs w:val="32"/>
          <w:lang w:val="en-US" w:eastAsia="zh-CN"/>
        </w:rPr>
        <w:t xml:space="preserve">  </w:t>
      </w:r>
      <w:r>
        <w:rPr>
          <w:rFonts w:hint="eastAsia" w:ascii="仿宋_GB2312" w:hAnsi="方正仿宋_GB2312" w:eastAsia="仿宋_GB2312" w:cs="方正仿宋_GB2312"/>
          <w:bCs/>
          <w:sz w:val="32"/>
          <w:szCs w:val="32"/>
        </w:rPr>
        <w:t>本办法自发布之日起施行，由教务处负责解释。</w:t>
      </w:r>
    </w:p>
    <w:sectPr>
      <w:pgSz w:w="11907" w:h="16840"/>
      <w:pgMar w:top="1701" w:right="1701" w:bottom="1695"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76F05E-9CC9-41B1-8BC0-C20FFE9C58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8C089FD-C231-4199-95AD-5E2D6F8A9DFB}"/>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C0A59914-66AE-4C8E-8FDB-4B06A7E54171}"/>
  </w:font>
  <w:font w:name="方正仿宋_GB2312">
    <w:panose1 w:val="02000000000000000000"/>
    <w:charset w:val="86"/>
    <w:family w:val="auto"/>
    <w:pitch w:val="default"/>
    <w:sig w:usb0="A00002BF" w:usb1="184F6CFA" w:usb2="00000012" w:usb3="00000000" w:csb0="00040001" w:csb1="00000000"/>
    <w:embedRegular r:id="rId4" w:fontKey="{1A92370D-6B50-415C-97FC-F82513A107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zMTRjNzRmMmU1ODY2MjY5Yzc5NWM3MzIyNDZlMjcifQ=="/>
  </w:docVars>
  <w:rsids>
    <w:rsidRoot w:val="00955ECD"/>
    <w:rsid w:val="00007D50"/>
    <w:rsid w:val="00010C21"/>
    <w:rsid w:val="00014389"/>
    <w:rsid w:val="00014C21"/>
    <w:rsid w:val="000163BD"/>
    <w:rsid w:val="000165FD"/>
    <w:rsid w:val="000178C9"/>
    <w:rsid w:val="00017E85"/>
    <w:rsid w:val="00020370"/>
    <w:rsid w:val="00023DFF"/>
    <w:rsid w:val="00030168"/>
    <w:rsid w:val="000416BB"/>
    <w:rsid w:val="00047BD8"/>
    <w:rsid w:val="0005005A"/>
    <w:rsid w:val="00052137"/>
    <w:rsid w:val="000521CE"/>
    <w:rsid w:val="00052E40"/>
    <w:rsid w:val="00064664"/>
    <w:rsid w:val="00066A18"/>
    <w:rsid w:val="0007162C"/>
    <w:rsid w:val="00071B68"/>
    <w:rsid w:val="00073FB7"/>
    <w:rsid w:val="00076867"/>
    <w:rsid w:val="00080EB5"/>
    <w:rsid w:val="000834B9"/>
    <w:rsid w:val="00083D9F"/>
    <w:rsid w:val="00085BF1"/>
    <w:rsid w:val="00093CD7"/>
    <w:rsid w:val="00095A97"/>
    <w:rsid w:val="000A348F"/>
    <w:rsid w:val="000B26D7"/>
    <w:rsid w:val="000B280E"/>
    <w:rsid w:val="000B3716"/>
    <w:rsid w:val="000B7A59"/>
    <w:rsid w:val="000C0B55"/>
    <w:rsid w:val="000C2B5C"/>
    <w:rsid w:val="000C2FBB"/>
    <w:rsid w:val="000C5756"/>
    <w:rsid w:val="000C6581"/>
    <w:rsid w:val="000C7313"/>
    <w:rsid w:val="000D188A"/>
    <w:rsid w:val="000D25A2"/>
    <w:rsid w:val="000D3A2D"/>
    <w:rsid w:val="000D5AD9"/>
    <w:rsid w:val="000D5FD4"/>
    <w:rsid w:val="000D73AA"/>
    <w:rsid w:val="000E6F40"/>
    <w:rsid w:val="000E7B52"/>
    <w:rsid w:val="000F0BA7"/>
    <w:rsid w:val="000F65BA"/>
    <w:rsid w:val="000F7FF6"/>
    <w:rsid w:val="00106A63"/>
    <w:rsid w:val="00110625"/>
    <w:rsid w:val="00111D7F"/>
    <w:rsid w:val="00115A3E"/>
    <w:rsid w:val="00127466"/>
    <w:rsid w:val="001331B6"/>
    <w:rsid w:val="001349B6"/>
    <w:rsid w:val="00134C12"/>
    <w:rsid w:val="00137BE1"/>
    <w:rsid w:val="00141CF1"/>
    <w:rsid w:val="001434F3"/>
    <w:rsid w:val="001438F0"/>
    <w:rsid w:val="0015006D"/>
    <w:rsid w:val="0015191E"/>
    <w:rsid w:val="0015560E"/>
    <w:rsid w:val="00156046"/>
    <w:rsid w:val="00156C6E"/>
    <w:rsid w:val="0015777F"/>
    <w:rsid w:val="00160D98"/>
    <w:rsid w:val="00161D21"/>
    <w:rsid w:val="00165F99"/>
    <w:rsid w:val="00173F12"/>
    <w:rsid w:val="00181540"/>
    <w:rsid w:val="001A44D1"/>
    <w:rsid w:val="001B05B0"/>
    <w:rsid w:val="001B1707"/>
    <w:rsid w:val="001B1A6A"/>
    <w:rsid w:val="001B4451"/>
    <w:rsid w:val="001B5E2D"/>
    <w:rsid w:val="001B6CDC"/>
    <w:rsid w:val="001C1577"/>
    <w:rsid w:val="001C423C"/>
    <w:rsid w:val="001C65C7"/>
    <w:rsid w:val="001F123E"/>
    <w:rsid w:val="001F739F"/>
    <w:rsid w:val="002008C6"/>
    <w:rsid w:val="002036C7"/>
    <w:rsid w:val="002077C2"/>
    <w:rsid w:val="002102CD"/>
    <w:rsid w:val="002124F9"/>
    <w:rsid w:val="00216A53"/>
    <w:rsid w:val="00220A8A"/>
    <w:rsid w:val="00222DE0"/>
    <w:rsid w:val="002231A9"/>
    <w:rsid w:val="00223E58"/>
    <w:rsid w:val="00225B10"/>
    <w:rsid w:val="002301DB"/>
    <w:rsid w:val="00232B20"/>
    <w:rsid w:val="002337E0"/>
    <w:rsid w:val="00236911"/>
    <w:rsid w:val="00241FC9"/>
    <w:rsid w:val="002462B4"/>
    <w:rsid w:val="00253BE5"/>
    <w:rsid w:val="002565F5"/>
    <w:rsid w:val="00256BB4"/>
    <w:rsid w:val="00261CB9"/>
    <w:rsid w:val="002712BB"/>
    <w:rsid w:val="0027372D"/>
    <w:rsid w:val="00273D53"/>
    <w:rsid w:val="00274169"/>
    <w:rsid w:val="002746FB"/>
    <w:rsid w:val="00275210"/>
    <w:rsid w:val="002807B1"/>
    <w:rsid w:val="0028181D"/>
    <w:rsid w:val="00287AFB"/>
    <w:rsid w:val="0029051E"/>
    <w:rsid w:val="0029110B"/>
    <w:rsid w:val="002933FE"/>
    <w:rsid w:val="002975E4"/>
    <w:rsid w:val="002A2F86"/>
    <w:rsid w:val="002A3437"/>
    <w:rsid w:val="002A456C"/>
    <w:rsid w:val="002A5999"/>
    <w:rsid w:val="002A5C4A"/>
    <w:rsid w:val="002B004F"/>
    <w:rsid w:val="002B649F"/>
    <w:rsid w:val="002B67F6"/>
    <w:rsid w:val="002B7169"/>
    <w:rsid w:val="002C05A2"/>
    <w:rsid w:val="002C4499"/>
    <w:rsid w:val="002C55B2"/>
    <w:rsid w:val="002C67EE"/>
    <w:rsid w:val="002C7B43"/>
    <w:rsid w:val="002D2A8A"/>
    <w:rsid w:val="002D4D1F"/>
    <w:rsid w:val="002D5517"/>
    <w:rsid w:val="002E3C3A"/>
    <w:rsid w:val="002F115D"/>
    <w:rsid w:val="002F3E01"/>
    <w:rsid w:val="002F4D38"/>
    <w:rsid w:val="002F52E8"/>
    <w:rsid w:val="002F7980"/>
    <w:rsid w:val="002F7E95"/>
    <w:rsid w:val="003036B5"/>
    <w:rsid w:val="00307EEB"/>
    <w:rsid w:val="00311BDB"/>
    <w:rsid w:val="00312172"/>
    <w:rsid w:val="0031323B"/>
    <w:rsid w:val="00314A10"/>
    <w:rsid w:val="00317DB9"/>
    <w:rsid w:val="00321888"/>
    <w:rsid w:val="00325D92"/>
    <w:rsid w:val="00327EFA"/>
    <w:rsid w:val="003320BC"/>
    <w:rsid w:val="00342D36"/>
    <w:rsid w:val="00350083"/>
    <w:rsid w:val="0035171A"/>
    <w:rsid w:val="00352DC3"/>
    <w:rsid w:val="00353C1F"/>
    <w:rsid w:val="00364136"/>
    <w:rsid w:val="00367794"/>
    <w:rsid w:val="003708CF"/>
    <w:rsid w:val="00371C07"/>
    <w:rsid w:val="00372A28"/>
    <w:rsid w:val="00375980"/>
    <w:rsid w:val="003926C0"/>
    <w:rsid w:val="0039364D"/>
    <w:rsid w:val="003A190F"/>
    <w:rsid w:val="003A5AA6"/>
    <w:rsid w:val="003A6162"/>
    <w:rsid w:val="003A6892"/>
    <w:rsid w:val="003B0122"/>
    <w:rsid w:val="003B4F60"/>
    <w:rsid w:val="003B6053"/>
    <w:rsid w:val="003B7600"/>
    <w:rsid w:val="003B7C90"/>
    <w:rsid w:val="003C52E8"/>
    <w:rsid w:val="003C6DCE"/>
    <w:rsid w:val="003D2A66"/>
    <w:rsid w:val="003D2C11"/>
    <w:rsid w:val="003D375F"/>
    <w:rsid w:val="003D5B37"/>
    <w:rsid w:val="003D5BA9"/>
    <w:rsid w:val="003D75A4"/>
    <w:rsid w:val="003E11C9"/>
    <w:rsid w:val="003E3BF6"/>
    <w:rsid w:val="003E400E"/>
    <w:rsid w:val="003E6FE4"/>
    <w:rsid w:val="003F1844"/>
    <w:rsid w:val="003F4B3D"/>
    <w:rsid w:val="004000EB"/>
    <w:rsid w:val="00405338"/>
    <w:rsid w:val="00411805"/>
    <w:rsid w:val="00412DA9"/>
    <w:rsid w:val="004154CB"/>
    <w:rsid w:val="00415EE0"/>
    <w:rsid w:val="00420E56"/>
    <w:rsid w:val="004223D3"/>
    <w:rsid w:val="0042256E"/>
    <w:rsid w:val="00423318"/>
    <w:rsid w:val="00425FA3"/>
    <w:rsid w:val="004277AB"/>
    <w:rsid w:val="00431F0C"/>
    <w:rsid w:val="00432EE8"/>
    <w:rsid w:val="00433904"/>
    <w:rsid w:val="00434819"/>
    <w:rsid w:val="004470BF"/>
    <w:rsid w:val="00452D2E"/>
    <w:rsid w:val="00456F98"/>
    <w:rsid w:val="004612C9"/>
    <w:rsid w:val="00466503"/>
    <w:rsid w:val="00466A15"/>
    <w:rsid w:val="00466DDD"/>
    <w:rsid w:val="00470F3A"/>
    <w:rsid w:val="00472516"/>
    <w:rsid w:val="0047314F"/>
    <w:rsid w:val="0048133F"/>
    <w:rsid w:val="00481E4D"/>
    <w:rsid w:val="0048264C"/>
    <w:rsid w:val="004864CB"/>
    <w:rsid w:val="00490C27"/>
    <w:rsid w:val="004A21D8"/>
    <w:rsid w:val="004B0C84"/>
    <w:rsid w:val="004B3355"/>
    <w:rsid w:val="004B5292"/>
    <w:rsid w:val="004B68A7"/>
    <w:rsid w:val="004C0028"/>
    <w:rsid w:val="004C1615"/>
    <w:rsid w:val="004C28EF"/>
    <w:rsid w:val="004C78E2"/>
    <w:rsid w:val="004D1BAC"/>
    <w:rsid w:val="004D256F"/>
    <w:rsid w:val="004E574F"/>
    <w:rsid w:val="004E7D5A"/>
    <w:rsid w:val="004F1642"/>
    <w:rsid w:val="004F229B"/>
    <w:rsid w:val="004F5C2C"/>
    <w:rsid w:val="005042B2"/>
    <w:rsid w:val="00507AE6"/>
    <w:rsid w:val="0051084D"/>
    <w:rsid w:val="00511EC3"/>
    <w:rsid w:val="00512859"/>
    <w:rsid w:val="00516D26"/>
    <w:rsid w:val="00522B67"/>
    <w:rsid w:val="00523AB2"/>
    <w:rsid w:val="00526A94"/>
    <w:rsid w:val="0054457C"/>
    <w:rsid w:val="00551318"/>
    <w:rsid w:val="00552E0F"/>
    <w:rsid w:val="00560F58"/>
    <w:rsid w:val="00566833"/>
    <w:rsid w:val="00574853"/>
    <w:rsid w:val="00580AB6"/>
    <w:rsid w:val="00581A92"/>
    <w:rsid w:val="0058210D"/>
    <w:rsid w:val="00586823"/>
    <w:rsid w:val="00591C69"/>
    <w:rsid w:val="00596007"/>
    <w:rsid w:val="005A0465"/>
    <w:rsid w:val="005A557C"/>
    <w:rsid w:val="005A7A63"/>
    <w:rsid w:val="005B1377"/>
    <w:rsid w:val="005B2A05"/>
    <w:rsid w:val="005B4369"/>
    <w:rsid w:val="005B64E8"/>
    <w:rsid w:val="005B7B67"/>
    <w:rsid w:val="005C03B2"/>
    <w:rsid w:val="005C1195"/>
    <w:rsid w:val="005C1702"/>
    <w:rsid w:val="005C4A0F"/>
    <w:rsid w:val="005C58A4"/>
    <w:rsid w:val="005D31C9"/>
    <w:rsid w:val="005E1938"/>
    <w:rsid w:val="005E7E76"/>
    <w:rsid w:val="005F6CB2"/>
    <w:rsid w:val="006019B9"/>
    <w:rsid w:val="00602CC6"/>
    <w:rsid w:val="006043E8"/>
    <w:rsid w:val="00610F58"/>
    <w:rsid w:val="00613A41"/>
    <w:rsid w:val="00615ADB"/>
    <w:rsid w:val="00623499"/>
    <w:rsid w:val="00625654"/>
    <w:rsid w:val="00642C4C"/>
    <w:rsid w:val="00643A2C"/>
    <w:rsid w:val="00643AC4"/>
    <w:rsid w:val="00643CFA"/>
    <w:rsid w:val="00644F84"/>
    <w:rsid w:val="00647DE3"/>
    <w:rsid w:val="00651336"/>
    <w:rsid w:val="0066253A"/>
    <w:rsid w:val="00662A71"/>
    <w:rsid w:val="006730F7"/>
    <w:rsid w:val="0067344E"/>
    <w:rsid w:val="0067539D"/>
    <w:rsid w:val="00686690"/>
    <w:rsid w:val="00686D4F"/>
    <w:rsid w:val="00690FD3"/>
    <w:rsid w:val="006927CB"/>
    <w:rsid w:val="0069435E"/>
    <w:rsid w:val="006A173D"/>
    <w:rsid w:val="006A4DC2"/>
    <w:rsid w:val="006A59E4"/>
    <w:rsid w:val="006A6F03"/>
    <w:rsid w:val="006B2F0E"/>
    <w:rsid w:val="006B3718"/>
    <w:rsid w:val="006B38AC"/>
    <w:rsid w:val="006C1F6B"/>
    <w:rsid w:val="006E4F0A"/>
    <w:rsid w:val="006E7205"/>
    <w:rsid w:val="006E7B6C"/>
    <w:rsid w:val="006F717D"/>
    <w:rsid w:val="006F74F1"/>
    <w:rsid w:val="006F7561"/>
    <w:rsid w:val="006F798D"/>
    <w:rsid w:val="00700961"/>
    <w:rsid w:val="00703349"/>
    <w:rsid w:val="007048FD"/>
    <w:rsid w:val="00706282"/>
    <w:rsid w:val="007112BC"/>
    <w:rsid w:val="0071455C"/>
    <w:rsid w:val="00714AC9"/>
    <w:rsid w:val="00722150"/>
    <w:rsid w:val="00723602"/>
    <w:rsid w:val="0073100E"/>
    <w:rsid w:val="00734F40"/>
    <w:rsid w:val="007436C5"/>
    <w:rsid w:val="00752B2A"/>
    <w:rsid w:val="00755103"/>
    <w:rsid w:val="00762E62"/>
    <w:rsid w:val="00763732"/>
    <w:rsid w:val="00764700"/>
    <w:rsid w:val="00766C0E"/>
    <w:rsid w:val="00780796"/>
    <w:rsid w:val="00782460"/>
    <w:rsid w:val="007873EA"/>
    <w:rsid w:val="00790FDA"/>
    <w:rsid w:val="0079132E"/>
    <w:rsid w:val="00793E79"/>
    <w:rsid w:val="007A03F4"/>
    <w:rsid w:val="007A0FB7"/>
    <w:rsid w:val="007A5B94"/>
    <w:rsid w:val="007A6A04"/>
    <w:rsid w:val="007A7BB4"/>
    <w:rsid w:val="007B0DD8"/>
    <w:rsid w:val="007B2251"/>
    <w:rsid w:val="007B3FCC"/>
    <w:rsid w:val="007B410B"/>
    <w:rsid w:val="007B73FD"/>
    <w:rsid w:val="007C22C8"/>
    <w:rsid w:val="007C2F39"/>
    <w:rsid w:val="007E1EE4"/>
    <w:rsid w:val="007F0429"/>
    <w:rsid w:val="007F338D"/>
    <w:rsid w:val="007F47DF"/>
    <w:rsid w:val="007F4B3D"/>
    <w:rsid w:val="007F5697"/>
    <w:rsid w:val="007F68C1"/>
    <w:rsid w:val="007F6BD9"/>
    <w:rsid w:val="007F7F2F"/>
    <w:rsid w:val="00800866"/>
    <w:rsid w:val="00802C04"/>
    <w:rsid w:val="00810FA7"/>
    <w:rsid w:val="0081232E"/>
    <w:rsid w:val="00813ED3"/>
    <w:rsid w:val="00815ACD"/>
    <w:rsid w:val="00815AEE"/>
    <w:rsid w:val="008214F3"/>
    <w:rsid w:val="00831B44"/>
    <w:rsid w:val="00831D5F"/>
    <w:rsid w:val="0083303D"/>
    <w:rsid w:val="00852416"/>
    <w:rsid w:val="00852FBA"/>
    <w:rsid w:val="0085356B"/>
    <w:rsid w:val="00854714"/>
    <w:rsid w:val="008552C9"/>
    <w:rsid w:val="00855F05"/>
    <w:rsid w:val="00861CBB"/>
    <w:rsid w:val="00862F0A"/>
    <w:rsid w:val="00867BA3"/>
    <w:rsid w:val="008729DE"/>
    <w:rsid w:val="00874B0F"/>
    <w:rsid w:val="00876FAA"/>
    <w:rsid w:val="0087780A"/>
    <w:rsid w:val="0088372F"/>
    <w:rsid w:val="00890CF7"/>
    <w:rsid w:val="0089567C"/>
    <w:rsid w:val="00897852"/>
    <w:rsid w:val="008A1D18"/>
    <w:rsid w:val="008B0BF2"/>
    <w:rsid w:val="008B7328"/>
    <w:rsid w:val="008C01FE"/>
    <w:rsid w:val="008C3652"/>
    <w:rsid w:val="008C3EB9"/>
    <w:rsid w:val="008C7724"/>
    <w:rsid w:val="008D2027"/>
    <w:rsid w:val="008D6AF4"/>
    <w:rsid w:val="008E09D5"/>
    <w:rsid w:val="008E38BA"/>
    <w:rsid w:val="008E7296"/>
    <w:rsid w:val="008F1FE4"/>
    <w:rsid w:val="008F6143"/>
    <w:rsid w:val="008F70E8"/>
    <w:rsid w:val="008F7A0F"/>
    <w:rsid w:val="00900DF9"/>
    <w:rsid w:val="00902D6E"/>
    <w:rsid w:val="00903692"/>
    <w:rsid w:val="00906A8C"/>
    <w:rsid w:val="00912999"/>
    <w:rsid w:val="00915B97"/>
    <w:rsid w:val="0092054A"/>
    <w:rsid w:val="00920E78"/>
    <w:rsid w:val="0092480F"/>
    <w:rsid w:val="009263B3"/>
    <w:rsid w:val="00933174"/>
    <w:rsid w:val="00937930"/>
    <w:rsid w:val="00947A92"/>
    <w:rsid w:val="00952F3B"/>
    <w:rsid w:val="00952FDD"/>
    <w:rsid w:val="0095338A"/>
    <w:rsid w:val="00954EC4"/>
    <w:rsid w:val="00955ECD"/>
    <w:rsid w:val="009636B6"/>
    <w:rsid w:val="00963CD1"/>
    <w:rsid w:val="009643ED"/>
    <w:rsid w:val="009664C4"/>
    <w:rsid w:val="00967287"/>
    <w:rsid w:val="009704E4"/>
    <w:rsid w:val="00971720"/>
    <w:rsid w:val="0097319C"/>
    <w:rsid w:val="00973640"/>
    <w:rsid w:val="009744C0"/>
    <w:rsid w:val="00976E1C"/>
    <w:rsid w:val="009802B9"/>
    <w:rsid w:val="00984972"/>
    <w:rsid w:val="0098779B"/>
    <w:rsid w:val="00990DFA"/>
    <w:rsid w:val="00992AF6"/>
    <w:rsid w:val="009960B3"/>
    <w:rsid w:val="009A3520"/>
    <w:rsid w:val="009A3E5E"/>
    <w:rsid w:val="009B01EB"/>
    <w:rsid w:val="009B1076"/>
    <w:rsid w:val="009B5E09"/>
    <w:rsid w:val="009C406A"/>
    <w:rsid w:val="009E119D"/>
    <w:rsid w:val="009E41A2"/>
    <w:rsid w:val="009E4CEC"/>
    <w:rsid w:val="009E5B01"/>
    <w:rsid w:val="009F45BE"/>
    <w:rsid w:val="009F586A"/>
    <w:rsid w:val="00A000F4"/>
    <w:rsid w:val="00A0293B"/>
    <w:rsid w:val="00A04A9C"/>
    <w:rsid w:val="00A07901"/>
    <w:rsid w:val="00A13FC7"/>
    <w:rsid w:val="00A14D49"/>
    <w:rsid w:val="00A212FA"/>
    <w:rsid w:val="00A31BEB"/>
    <w:rsid w:val="00A33E2A"/>
    <w:rsid w:val="00A34C16"/>
    <w:rsid w:val="00A37AB5"/>
    <w:rsid w:val="00A42FEC"/>
    <w:rsid w:val="00A446A4"/>
    <w:rsid w:val="00A4603E"/>
    <w:rsid w:val="00A46076"/>
    <w:rsid w:val="00A60F84"/>
    <w:rsid w:val="00A660FF"/>
    <w:rsid w:val="00A6641B"/>
    <w:rsid w:val="00A72A9F"/>
    <w:rsid w:val="00A749F2"/>
    <w:rsid w:val="00A87466"/>
    <w:rsid w:val="00A9224C"/>
    <w:rsid w:val="00A922D7"/>
    <w:rsid w:val="00A9409B"/>
    <w:rsid w:val="00A956F9"/>
    <w:rsid w:val="00AA0925"/>
    <w:rsid w:val="00AA1D6B"/>
    <w:rsid w:val="00AA451C"/>
    <w:rsid w:val="00AB0429"/>
    <w:rsid w:val="00AB4231"/>
    <w:rsid w:val="00AB44AB"/>
    <w:rsid w:val="00AC0CE2"/>
    <w:rsid w:val="00AC0D8E"/>
    <w:rsid w:val="00AC4631"/>
    <w:rsid w:val="00AD4EB0"/>
    <w:rsid w:val="00AD782B"/>
    <w:rsid w:val="00AE01CC"/>
    <w:rsid w:val="00AE09B1"/>
    <w:rsid w:val="00AE24F4"/>
    <w:rsid w:val="00AE71B1"/>
    <w:rsid w:val="00AF7BF7"/>
    <w:rsid w:val="00B007E6"/>
    <w:rsid w:val="00B02C9A"/>
    <w:rsid w:val="00B163CE"/>
    <w:rsid w:val="00B16976"/>
    <w:rsid w:val="00B17B05"/>
    <w:rsid w:val="00B17FE5"/>
    <w:rsid w:val="00B2240E"/>
    <w:rsid w:val="00B24124"/>
    <w:rsid w:val="00B25568"/>
    <w:rsid w:val="00B3211D"/>
    <w:rsid w:val="00B35169"/>
    <w:rsid w:val="00B3699C"/>
    <w:rsid w:val="00B36ADF"/>
    <w:rsid w:val="00B375D8"/>
    <w:rsid w:val="00B41BBA"/>
    <w:rsid w:val="00B46C9A"/>
    <w:rsid w:val="00B473B0"/>
    <w:rsid w:val="00B530EC"/>
    <w:rsid w:val="00B53179"/>
    <w:rsid w:val="00B55CDC"/>
    <w:rsid w:val="00B568E6"/>
    <w:rsid w:val="00B61EE1"/>
    <w:rsid w:val="00B642DA"/>
    <w:rsid w:val="00B72D18"/>
    <w:rsid w:val="00B75AC1"/>
    <w:rsid w:val="00B76122"/>
    <w:rsid w:val="00B8136F"/>
    <w:rsid w:val="00B838DB"/>
    <w:rsid w:val="00B84C8B"/>
    <w:rsid w:val="00B87930"/>
    <w:rsid w:val="00B928D0"/>
    <w:rsid w:val="00B92A66"/>
    <w:rsid w:val="00B9492D"/>
    <w:rsid w:val="00B95EB9"/>
    <w:rsid w:val="00B970A5"/>
    <w:rsid w:val="00BA6A85"/>
    <w:rsid w:val="00BA72D8"/>
    <w:rsid w:val="00BA7427"/>
    <w:rsid w:val="00BB33F9"/>
    <w:rsid w:val="00BB7787"/>
    <w:rsid w:val="00BC084A"/>
    <w:rsid w:val="00BC1864"/>
    <w:rsid w:val="00BC68C2"/>
    <w:rsid w:val="00BE69A1"/>
    <w:rsid w:val="00BF487B"/>
    <w:rsid w:val="00BF69E1"/>
    <w:rsid w:val="00BF6A44"/>
    <w:rsid w:val="00C0041F"/>
    <w:rsid w:val="00C00FD1"/>
    <w:rsid w:val="00C05F3F"/>
    <w:rsid w:val="00C143E8"/>
    <w:rsid w:val="00C15123"/>
    <w:rsid w:val="00C160AB"/>
    <w:rsid w:val="00C220FD"/>
    <w:rsid w:val="00C27E63"/>
    <w:rsid w:val="00C32D77"/>
    <w:rsid w:val="00C35EA8"/>
    <w:rsid w:val="00C36317"/>
    <w:rsid w:val="00C37721"/>
    <w:rsid w:val="00C4321B"/>
    <w:rsid w:val="00C4639F"/>
    <w:rsid w:val="00C46A01"/>
    <w:rsid w:val="00C47556"/>
    <w:rsid w:val="00C51925"/>
    <w:rsid w:val="00C51A9B"/>
    <w:rsid w:val="00C605F2"/>
    <w:rsid w:val="00C71D45"/>
    <w:rsid w:val="00C76103"/>
    <w:rsid w:val="00C767FF"/>
    <w:rsid w:val="00C821A7"/>
    <w:rsid w:val="00C82ECF"/>
    <w:rsid w:val="00C90CD6"/>
    <w:rsid w:val="00C93649"/>
    <w:rsid w:val="00CA1B0F"/>
    <w:rsid w:val="00CB04A3"/>
    <w:rsid w:val="00CB2256"/>
    <w:rsid w:val="00CB65FA"/>
    <w:rsid w:val="00CB6E70"/>
    <w:rsid w:val="00CB7049"/>
    <w:rsid w:val="00CB7FC2"/>
    <w:rsid w:val="00CC2350"/>
    <w:rsid w:val="00CC3765"/>
    <w:rsid w:val="00CC38F8"/>
    <w:rsid w:val="00CC5FCA"/>
    <w:rsid w:val="00CD2223"/>
    <w:rsid w:val="00CD349C"/>
    <w:rsid w:val="00CD3D3D"/>
    <w:rsid w:val="00CE3B79"/>
    <w:rsid w:val="00CE682A"/>
    <w:rsid w:val="00CF0754"/>
    <w:rsid w:val="00CF10D1"/>
    <w:rsid w:val="00CF3F1D"/>
    <w:rsid w:val="00CF5011"/>
    <w:rsid w:val="00D003FE"/>
    <w:rsid w:val="00D24F6E"/>
    <w:rsid w:val="00D30F6B"/>
    <w:rsid w:val="00D34FB7"/>
    <w:rsid w:val="00D36251"/>
    <w:rsid w:val="00D368DF"/>
    <w:rsid w:val="00D41E9F"/>
    <w:rsid w:val="00D42B2F"/>
    <w:rsid w:val="00D467E8"/>
    <w:rsid w:val="00D46C09"/>
    <w:rsid w:val="00D522D2"/>
    <w:rsid w:val="00D5240F"/>
    <w:rsid w:val="00D571E4"/>
    <w:rsid w:val="00D62995"/>
    <w:rsid w:val="00D65A5B"/>
    <w:rsid w:val="00D94B8A"/>
    <w:rsid w:val="00D95130"/>
    <w:rsid w:val="00D969BF"/>
    <w:rsid w:val="00D96E8D"/>
    <w:rsid w:val="00D97824"/>
    <w:rsid w:val="00D97E62"/>
    <w:rsid w:val="00DA087A"/>
    <w:rsid w:val="00DA4480"/>
    <w:rsid w:val="00DB2F2C"/>
    <w:rsid w:val="00DB4109"/>
    <w:rsid w:val="00DB55D0"/>
    <w:rsid w:val="00DB5F5D"/>
    <w:rsid w:val="00DC0F2D"/>
    <w:rsid w:val="00DC40BA"/>
    <w:rsid w:val="00DC5183"/>
    <w:rsid w:val="00DD77F6"/>
    <w:rsid w:val="00DE3068"/>
    <w:rsid w:val="00DE4667"/>
    <w:rsid w:val="00DE6FEC"/>
    <w:rsid w:val="00DE70CB"/>
    <w:rsid w:val="00DF5251"/>
    <w:rsid w:val="00DF55D7"/>
    <w:rsid w:val="00E05D0C"/>
    <w:rsid w:val="00E0633D"/>
    <w:rsid w:val="00E07898"/>
    <w:rsid w:val="00E11181"/>
    <w:rsid w:val="00E12B04"/>
    <w:rsid w:val="00E22CD7"/>
    <w:rsid w:val="00E31F08"/>
    <w:rsid w:val="00E33896"/>
    <w:rsid w:val="00E33B0E"/>
    <w:rsid w:val="00E35763"/>
    <w:rsid w:val="00E37F92"/>
    <w:rsid w:val="00E437E1"/>
    <w:rsid w:val="00E4533B"/>
    <w:rsid w:val="00E46E3A"/>
    <w:rsid w:val="00E52797"/>
    <w:rsid w:val="00E628F9"/>
    <w:rsid w:val="00E62ED5"/>
    <w:rsid w:val="00E648D8"/>
    <w:rsid w:val="00E661F1"/>
    <w:rsid w:val="00E671F3"/>
    <w:rsid w:val="00E75800"/>
    <w:rsid w:val="00E81B32"/>
    <w:rsid w:val="00E83071"/>
    <w:rsid w:val="00E84BEA"/>
    <w:rsid w:val="00E8545E"/>
    <w:rsid w:val="00E87607"/>
    <w:rsid w:val="00E91ADA"/>
    <w:rsid w:val="00E975EC"/>
    <w:rsid w:val="00EC694A"/>
    <w:rsid w:val="00EC6E7F"/>
    <w:rsid w:val="00ED0B61"/>
    <w:rsid w:val="00ED3A05"/>
    <w:rsid w:val="00EE0B2F"/>
    <w:rsid w:val="00EE46D2"/>
    <w:rsid w:val="00EE4962"/>
    <w:rsid w:val="00EE6636"/>
    <w:rsid w:val="00EE6A7B"/>
    <w:rsid w:val="00EE71E0"/>
    <w:rsid w:val="00EE73AA"/>
    <w:rsid w:val="00EE78D5"/>
    <w:rsid w:val="00EF3DDC"/>
    <w:rsid w:val="00EF5486"/>
    <w:rsid w:val="00EF62AB"/>
    <w:rsid w:val="00F00799"/>
    <w:rsid w:val="00F03793"/>
    <w:rsid w:val="00F03D27"/>
    <w:rsid w:val="00F12245"/>
    <w:rsid w:val="00F12FFE"/>
    <w:rsid w:val="00F132F3"/>
    <w:rsid w:val="00F13D0B"/>
    <w:rsid w:val="00F20217"/>
    <w:rsid w:val="00F230EF"/>
    <w:rsid w:val="00F277AF"/>
    <w:rsid w:val="00F31A8F"/>
    <w:rsid w:val="00F31B50"/>
    <w:rsid w:val="00F32A84"/>
    <w:rsid w:val="00F3348E"/>
    <w:rsid w:val="00F3365C"/>
    <w:rsid w:val="00F34B1E"/>
    <w:rsid w:val="00F378F1"/>
    <w:rsid w:val="00F44C41"/>
    <w:rsid w:val="00F53815"/>
    <w:rsid w:val="00F53C4F"/>
    <w:rsid w:val="00F61F4F"/>
    <w:rsid w:val="00F62920"/>
    <w:rsid w:val="00F651BC"/>
    <w:rsid w:val="00F656CF"/>
    <w:rsid w:val="00F66615"/>
    <w:rsid w:val="00F75A18"/>
    <w:rsid w:val="00F76913"/>
    <w:rsid w:val="00F836A4"/>
    <w:rsid w:val="00F84697"/>
    <w:rsid w:val="00F85344"/>
    <w:rsid w:val="00F929E2"/>
    <w:rsid w:val="00F9787A"/>
    <w:rsid w:val="00FC0312"/>
    <w:rsid w:val="00FC0579"/>
    <w:rsid w:val="00FC0FDC"/>
    <w:rsid w:val="00FC4D3A"/>
    <w:rsid w:val="00FD37D4"/>
    <w:rsid w:val="00FD5E6C"/>
    <w:rsid w:val="00FE1238"/>
    <w:rsid w:val="00FE44B8"/>
    <w:rsid w:val="00FE4E15"/>
    <w:rsid w:val="00FE637B"/>
    <w:rsid w:val="00FF1CAA"/>
    <w:rsid w:val="02255149"/>
    <w:rsid w:val="176F2675"/>
    <w:rsid w:val="1CAD4631"/>
    <w:rsid w:val="2A5E25BD"/>
    <w:rsid w:val="336D1F33"/>
    <w:rsid w:val="3EE511E1"/>
    <w:rsid w:val="4B9C37FE"/>
    <w:rsid w:val="4CA05559"/>
    <w:rsid w:val="5A8A0B22"/>
    <w:rsid w:val="67FA522E"/>
    <w:rsid w:val="70536219"/>
    <w:rsid w:val="783C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5">
    <w:name w:val="Default Paragraph Font"/>
    <w:autoRedefine/>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0"/>
    <w:autoRedefine/>
    <w:unhideWhenUsed/>
    <w:qFormat/>
    <w:uiPriority w:val="0"/>
    <w:pPr>
      <w:spacing w:after="120"/>
    </w:pPr>
  </w:style>
  <w:style w:type="paragraph" w:styleId="4">
    <w:name w:val="Body Text Indent"/>
    <w:basedOn w:val="1"/>
    <w:autoRedefine/>
    <w:uiPriority w:val="0"/>
    <w:pPr>
      <w:spacing w:after="120"/>
      <w:ind w:left="420" w:leftChars="200"/>
    </w:pPr>
  </w:style>
  <w:style w:type="paragraph" w:styleId="5">
    <w:name w:val="Plain Text"/>
    <w:basedOn w:val="1"/>
    <w:link w:val="27"/>
    <w:autoRedefine/>
    <w:qFormat/>
    <w:uiPriority w:val="0"/>
    <w:rPr>
      <w:rFonts w:ascii="宋体" w:hAnsi="Courier New"/>
      <w:kern w:val="0"/>
      <w:sz w:val="20"/>
      <w:szCs w:val="21"/>
      <w:lang w:val="zh-CN" w:eastAsia="zh-CN"/>
    </w:rPr>
  </w:style>
  <w:style w:type="paragraph" w:styleId="6">
    <w:name w:val="Date"/>
    <w:basedOn w:val="1"/>
    <w:next w:val="1"/>
    <w:qFormat/>
    <w:uiPriority w:val="0"/>
    <w:pPr>
      <w:ind w:left="100" w:leftChars="2500"/>
    </w:pPr>
  </w:style>
  <w:style w:type="paragraph" w:styleId="7">
    <w:name w:val="Balloon Text"/>
    <w:basedOn w:val="1"/>
    <w:autoRedefine/>
    <w:semiHidden/>
    <w:uiPriority w:val="0"/>
    <w:rPr>
      <w:sz w:val="18"/>
      <w:szCs w:val="18"/>
    </w:rPr>
  </w:style>
  <w:style w:type="paragraph" w:styleId="8">
    <w:name w:val="footer"/>
    <w:basedOn w:val="1"/>
    <w:link w:val="23"/>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autoRedefine/>
    <w:qFormat/>
    <w:uiPriority w:val="0"/>
    <w:pPr>
      <w:spacing w:after="120"/>
      <w:ind w:left="420" w:leftChars="200"/>
    </w:pPr>
    <w:rPr>
      <w:sz w:val="16"/>
      <w:szCs w:val="16"/>
    </w:rPr>
  </w:style>
  <w:style w:type="paragraph" w:styleId="11">
    <w:name w:val="HTML Preformatted"/>
    <w:basedOn w:val="1"/>
    <w:link w:val="2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szCs w:val="20"/>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bCs/>
    </w:rPr>
  </w:style>
  <w:style w:type="character" w:styleId="17">
    <w:name w:val="page number"/>
    <w:basedOn w:val="15"/>
    <w:autoRedefine/>
    <w:qFormat/>
    <w:uiPriority w:val="0"/>
  </w:style>
  <w:style w:type="character" w:styleId="18">
    <w:name w:val="Emphasis"/>
    <w:basedOn w:val="15"/>
    <w:autoRedefine/>
    <w:qFormat/>
    <w:uiPriority w:val="0"/>
    <w:rPr>
      <w:i/>
      <w:iCs/>
    </w:rPr>
  </w:style>
  <w:style w:type="character" w:styleId="19">
    <w:name w:val="Hyperlink"/>
    <w:basedOn w:val="15"/>
    <w:autoRedefine/>
    <w:qFormat/>
    <w:uiPriority w:val="0"/>
    <w:rPr>
      <w:color w:val="0000FF"/>
      <w:u w:val="single"/>
    </w:rPr>
  </w:style>
  <w:style w:type="paragraph" w:customStyle="1" w:styleId="20">
    <w:name w:val="Char"/>
    <w:basedOn w:val="1"/>
    <w:autoRedefine/>
    <w:qFormat/>
    <w:uiPriority w:val="0"/>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1">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2">
    <w:name w:val="15"/>
    <w:basedOn w:val="15"/>
    <w:autoRedefine/>
    <w:qFormat/>
    <w:uiPriority w:val="0"/>
  </w:style>
  <w:style w:type="character" w:customStyle="1" w:styleId="23">
    <w:name w:val="页脚 字符"/>
    <w:basedOn w:val="15"/>
    <w:link w:val="8"/>
    <w:autoRedefine/>
    <w:qFormat/>
    <w:uiPriority w:val="99"/>
    <w:rPr>
      <w:kern w:val="2"/>
      <w:sz w:val="18"/>
      <w:szCs w:val="18"/>
    </w:rPr>
  </w:style>
  <w:style w:type="paragraph" w:styleId="24">
    <w:name w:val="List Paragraph"/>
    <w:basedOn w:val="1"/>
    <w:autoRedefine/>
    <w:unhideWhenUsed/>
    <w:qFormat/>
    <w:uiPriority w:val="34"/>
    <w:pPr>
      <w:ind w:firstLine="420" w:firstLineChars="200"/>
    </w:pPr>
  </w:style>
  <w:style w:type="character" w:customStyle="1" w:styleId="25">
    <w:name w:val="一级标题"/>
    <w:autoRedefine/>
    <w:qFormat/>
    <w:uiPriority w:val="99"/>
    <w:rPr>
      <w:rFonts w:eastAsia="黑体"/>
      <w:sz w:val="32"/>
    </w:rPr>
  </w:style>
  <w:style w:type="character" w:customStyle="1" w:styleId="26">
    <w:name w:val="纯文本 字符"/>
    <w:basedOn w:val="15"/>
    <w:semiHidden/>
    <w:qFormat/>
    <w:uiPriority w:val="0"/>
    <w:rPr>
      <w:rFonts w:hAnsi="Courier New" w:cs="Courier New" w:asciiTheme="minorEastAsia" w:eastAsiaTheme="minorEastAsia"/>
      <w:kern w:val="2"/>
      <w:sz w:val="21"/>
      <w:szCs w:val="24"/>
    </w:rPr>
  </w:style>
  <w:style w:type="character" w:customStyle="1" w:styleId="27">
    <w:name w:val="纯文本 字符1"/>
    <w:link w:val="5"/>
    <w:autoRedefine/>
    <w:uiPriority w:val="0"/>
    <w:rPr>
      <w:rFonts w:ascii="宋体" w:hAnsi="Courier New"/>
      <w:szCs w:val="21"/>
      <w:lang w:val="zh-CN" w:eastAsia="zh-CN"/>
    </w:rPr>
  </w:style>
  <w:style w:type="character" w:customStyle="1" w:styleId="28">
    <w:name w:val="HTML 预设格式 字符"/>
    <w:basedOn w:val="15"/>
    <w:link w:val="11"/>
    <w:autoRedefine/>
    <w:qFormat/>
    <w:uiPriority w:val="0"/>
    <w:rPr>
      <w:rFonts w:ascii="黑体" w:hAnsi="Courier New" w:eastAsia="黑体" w:cs="Courier New"/>
    </w:rPr>
  </w:style>
  <w:style w:type="table" w:customStyle="1" w:styleId="29">
    <w:name w:val="Table Normal"/>
    <w:semiHidden/>
    <w:unhideWhenUsed/>
    <w:qFormat/>
    <w:uiPriority w:val="0"/>
    <w:tblPr>
      <w:tblCellMar>
        <w:top w:w="0" w:type="dxa"/>
        <w:left w:w="0" w:type="dxa"/>
        <w:bottom w:w="0" w:type="dxa"/>
        <w:right w:w="0" w:type="dxa"/>
      </w:tblCellMar>
    </w:tblPr>
  </w:style>
  <w:style w:type="character" w:customStyle="1" w:styleId="30">
    <w:name w:val="正文文本 字符"/>
    <w:basedOn w:val="15"/>
    <w:link w:val="3"/>
    <w:autoRedefine/>
    <w:uiPriority w:val="0"/>
    <w:rPr>
      <w:kern w:val="2"/>
      <w:sz w:val="21"/>
      <w:szCs w:val="24"/>
    </w:rPr>
  </w:style>
  <w:style w:type="character" w:customStyle="1" w:styleId="31">
    <w:name w:val="font11"/>
    <w:basedOn w:val="1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7CD1-B584-4198-B05B-0210D52D95C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362</Words>
  <Characters>2069</Characters>
  <Lines>17</Lines>
  <Paragraphs>4</Paragraphs>
  <TotalTime>18</TotalTime>
  <ScaleCrop>false</ScaleCrop>
  <LinksUpToDate>false</LinksUpToDate>
  <CharactersWithSpaces>2427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2024-03-22T06:02:00Z</dcterms:created>
  <dc:creator>Lenovo User</dc:creator>
  <cp:lastModifiedBy>华氏英雄</cp:lastModifiedBy>
  <cp:lastPrinted>2023-12-11T06:27:00Z</cp:lastPrinted>
  <dcterms:modified xsi:type="dcterms:W3CDTF">2024-04-12T12:30:28Z</dcterms:modified>
  <dc:title>沈化院委发〔2004〕40号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D303E06E51AB4F879101B27EC5E17A77_12</vt:lpwstr>
  </property>
</Properties>
</file>