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ind w:left="0" w:leftChars="0" w:right="0" w:rightChars="0" w:firstLine="0" w:firstLineChars="0"/>
        <w:jc w:val="center"/>
        <w:rPr>
          <w:rFonts w:hint="eastAsia" w:ascii="方正小标宋简体" w:hAnsi="方正小标宋简体" w:eastAsia="方正小标宋简体" w:cs="方正小标宋简体"/>
          <w:color w:val="000000"/>
          <w:spacing w:val="0"/>
          <w:w w:val="100"/>
          <w:position w:val="0"/>
          <w:sz w:val="44"/>
          <w:szCs w:val="44"/>
          <w:u w:val="none" w:color="000000"/>
          <w:shd w:val="clear" w:color="auto" w:fill="auto"/>
          <w:vertAlign w:val="baseline"/>
          <w:rtl w:val="0"/>
          <w:lang w:val="en-US" w:eastAsia="zh-CN" w:bidi="ar-SA"/>
        </w:rPr>
      </w:pPr>
      <w:r>
        <w:rPr>
          <w:rFonts w:hint="eastAsia" w:ascii="方正小标宋简体" w:hAnsi="方正小标宋简体" w:eastAsia="方正小标宋简体" w:cs="方正小标宋简体"/>
          <w:spacing w:val="0"/>
          <w:w w:val="100"/>
          <w:position w:val="0"/>
          <w:sz w:val="44"/>
          <w:szCs w:val="44"/>
          <w:u w:val="none"/>
          <w:shd w:val="clear"/>
          <w:vertAlign w:val="baseline"/>
          <w:rtl w:val="0"/>
          <w:lang w:val="zh-TW" w:eastAsia="zh-TW" w:bidi="ar-SA"/>
        </w:rPr>
        <w:t>沈阳科技学院普通本科生学分制</w:t>
      </w:r>
      <w:bookmarkStart w:id="0" w:name="_GoBack"/>
      <w:r>
        <w:rPr>
          <w:rFonts w:hint="eastAsia" w:ascii="方正小标宋简体" w:hAnsi="方正小标宋简体" w:eastAsia="方正小标宋简体" w:cs="方正小标宋简体"/>
          <w:spacing w:val="0"/>
          <w:w w:val="100"/>
          <w:position w:val="0"/>
          <w:sz w:val="44"/>
          <w:szCs w:val="44"/>
          <w:u w:val="none"/>
          <w:shd w:val="clear"/>
          <w:vertAlign w:val="baseline"/>
          <w:rtl w:val="0"/>
          <w:lang w:val="zh-TW" w:eastAsia="zh-TW" w:bidi="ar-SA"/>
        </w:rPr>
        <w:t>学籍</w:t>
      </w:r>
      <w:bookmarkEnd w:id="0"/>
      <w:r>
        <w:rPr>
          <w:rFonts w:hint="eastAsia" w:ascii="方正小标宋简体" w:hAnsi="方正小标宋简体" w:eastAsia="方正小标宋简体" w:cs="方正小标宋简体"/>
          <w:spacing w:val="0"/>
          <w:w w:val="100"/>
          <w:position w:val="0"/>
          <w:sz w:val="44"/>
          <w:szCs w:val="44"/>
          <w:u w:val="none"/>
          <w:shd w:val="clear"/>
          <w:vertAlign w:val="baseline"/>
          <w:rtl w:val="0"/>
          <w:lang w:val="zh-TW" w:eastAsia="zh-TW" w:bidi="ar-SA"/>
        </w:rPr>
        <w:t>管理规定</w:t>
      </w:r>
      <w:r>
        <w:rPr>
          <w:rFonts w:hint="eastAsia" w:ascii="方正小标宋简体" w:hAnsi="方正小标宋简体" w:eastAsia="方正小标宋简体" w:cs="方正小标宋简体"/>
          <w:color w:val="000000"/>
          <w:spacing w:val="0"/>
          <w:w w:val="100"/>
          <w:position w:val="0"/>
          <w:sz w:val="44"/>
          <w:szCs w:val="44"/>
          <w:u w:val="none" w:color="000000"/>
          <w:shd w:val="clear" w:color="auto" w:fill="auto"/>
          <w:vertAlign w:val="baseline"/>
          <w:rtl w:val="0"/>
          <w:lang w:val="en-US" w:eastAsia="zh-CN" w:bidi="ar-SA"/>
        </w:rPr>
        <w:t>(修订)</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before="0" w:beforeLines="50"/>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32"/>
          <w:szCs w:val="32"/>
          <w:u w:val="none" w:color="000000"/>
          <w:shd w:val="clear" w:color="auto" w:fill="auto"/>
          <w:vertAlign w:val="baseline"/>
          <w:rtl w:val="0"/>
          <w:lang w:val="en-US" w:eastAsia="zh-CN" w:bidi="ar-SA"/>
        </w:rPr>
      </w:pPr>
      <w:r>
        <w:rPr>
          <w:rFonts w:hint="eastAsia" w:ascii="仿宋_GB2312" w:hAnsi="仿宋_GB2312" w:eastAsia="仿宋_GB2312" w:cs="仿宋_GB2312"/>
          <w:color w:val="000000"/>
          <w:spacing w:val="0"/>
          <w:w w:val="100"/>
          <w:position w:val="0"/>
          <w:sz w:val="32"/>
          <w:szCs w:val="32"/>
          <w:u w:val="none" w:color="000000"/>
          <w:shd w:val="clear" w:color="auto" w:fill="auto"/>
          <w:vertAlign w:val="baseline"/>
          <w:rtl w:val="0"/>
          <w:lang w:val="en-US" w:eastAsia="zh-CN" w:bidi="ar-SA"/>
        </w:rPr>
        <w:t>沈科发〔2023〕323号</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before="0" w:beforeLines="50"/>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32"/>
          <w:szCs w:val="32"/>
          <w:u w:val="none" w:color="000000"/>
          <w:shd w:val="clear" w:color="auto" w:fill="auto"/>
          <w:vertAlign w:val="baseline"/>
          <w:rtl w:val="0"/>
          <w:lang w:val="en-US" w:eastAsia="zh-CN" w:bidi="ar-SA"/>
        </w:rPr>
      </w:pP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_GB2312" w:hAnsi="Calibri" w:eastAsia="黑体" w:cs="Times New Roman"/>
          <w:spacing w:val="0"/>
          <w:w w:val="100"/>
          <w:position w:val="0"/>
          <w:sz w:val="32"/>
          <w:szCs w:val="32"/>
          <w:u w:val="none"/>
          <w:shd w:val="clear"/>
          <w:vertAlign w:val="baseline"/>
          <w:rtl w:val="0"/>
          <w:lang w:val="zh-TW" w:eastAsia="zh-CN" w:bidi="ar-SA"/>
        </w:rPr>
      </w:pPr>
      <w:r>
        <w:rPr>
          <w:rFonts w:hint="eastAsia" w:ascii="黑体" w:hAnsi="黑体" w:eastAsia="黑体" w:cs="Times New Roman"/>
          <w:spacing w:val="0"/>
          <w:w w:val="100"/>
          <w:position w:val="0"/>
          <w:sz w:val="32"/>
          <w:szCs w:val="32"/>
          <w:u w:val="none"/>
          <w:shd w:val="clear"/>
          <w:vertAlign w:val="baseline"/>
          <w:rtl w:val="0"/>
          <w:lang w:val="zh-TW" w:eastAsia="zh-TW" w:bidi="ar-SA"/>
        </w:rPr>
        <w:t xml:space="preserve">第一章  </w:t>
      </w:r>
      <w:r>
        <w:rPr>
          <w:rFonts w:hint="eastAsia" w:ascii="黑体" w:hAnsi="黑体" w:eastAsia="黑体" w:cs="Times New Roman"/>
          <w:spacing w:val="0"/>
          <w:w w:val="100"/>
          <w:position w:val="0"/>
          <w:sz w:val="32"/>
          <w:szCs w:val="32"/>
          <w:u w:val="none"/>
          <w:shd w:val="clear"/>
          <w:vertAlign w:val="baseline"/>
          <w:rtl w:val="0"/>
          <w:lang w:val="zh-TW" w:eastAsia="zh-CN" w:bidi="ar-SA"/>
        </w:rPr>
        <w:t>总</w:t>
      </w:r>
      <w:r>
        <w:rPr>
          <w:rFonts w:hint="eastAsia" w:ascii="黑体" w:hAnsi="黑体" w:eastAsia="黑体" w:cs="Times New Roman"/>
          <w:spacing w:val="0"/>
          <w:w w:val="100"/>
          <w:position w:val="0"/>
          <w:sz w:val="32"/>
          <w:szCs w:val="32"/>
          <w:u w:val="none"/>
          <w:shd w:val="clear"/>
          <w:vertAlign w:val="baseline"/>
          <w:rtl w:val="0"/>
          <w:lang w:val="en-US" w:eastAsia="zh-CN" w:bidi="ar-SA"/>
        </w:rPr>
        <w:t xml:space="preserve"> </w:t>
      </w:r>
      <w:r>
        <w:rPr>
          <w:rFonts w:hint="eastAsia" w:ascii="黑体" w:hAnsi="黑体" w:eastAsia="黑体" w:cs="Times New Roman"/>
          <w:spacing w:val="0"/>
          <w:w w:val="100"/>
          <w:position w:val="0"/>
          <w:sz w:val="32"/>
          <w:szCs w:val="32"/>
          <w:u w:val="none"/>
          <w:shd w:val="clear"/>
          <w:vertAlign w:val="baseline"/>
          <w:rtl w:val="0"/>
          <w:lang w:val="zh-TW" w:eastAsia="zh-CN" w:bidi="ar-SA"/>
        </w:rPr>
        <w:t>则</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outlineLvl w:val="9"/>
        <w:rPr>
          <w:rFonts w:hint="eastAsia" w:ascii="仿宋_GB2312" w:hAnsi="Calibri" w:eastAsia="仿宋_GB2312" w:cs="Times New Roman"/>
          <w:spacing w:val="0"/>
          <w:w w:val="100"/>
          <w:position w:val="0"/>
          <w:sz w:val="32"/>
          <w:szCs w:val="32"/>
          <w:u w:val="none"/>
          <w:shd w:val="clear"/>
          <w:vertAlign w:val="baseline"/>
          <w:rtl w:val="0"/>
          <w:lang w:val="zh-TW" w:eastAsia="zh-TW" w:bidi="ar-SA"/>
        </w:rPr>
      </w:pPr>
      <w:r>
        <w:rPr>
          <w:rFonts w:hint="eastAsia" w:ascii="仿宋_GB2312" w:hAnsi="Calibri" w:eastAsia="仿宋_GB2312" w:cs="Times New Roman"/>
          <w:spacing w:val="0"/>
          <w:w w:val="100"/>
          <w:position w:val="0"/>
          <w:sz w:val="32"/>
          <w:szCs w:val="32"/>
          <w:u w:val="none"/>
          <w:shd w:val="clear"/>
          <w:vertAlign w:val="baseline"/>
          <w:rtl w:val="0"/>
          <w:lang w:val="zh-TW" w:eastAsia="zh-TW" w:bidi="ar-SA"/>
        </w:rPr>
        <w:t>为进一步规范学校学籍管理，维护正常的教育教学秩序，促进学生全面发展，根据教育部颁发的《普通高等学校学生管理规定》（教育部令第41号）以及其他有关法律法规，结合学校实际，制定本规定。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黑体" w:hAnsi="黑体" w:eastAsia="黑体" w:cs="Times New Roman"/>
          <w:spacing w:val="0"/>
          <w:w w:val="100"/>
          <w:position w:val="0"/>
          <w:sz w:val="32"/>
          <w:szCs w:val="32"/>
          <w:u w:val="none"/>
          <w:shd w:val="clear"/>
          <w:vertAlign w:val="baseline"/>
          <w:lang w:val="zh-TW" w:eastAsia="zh-TW" w:bidi="ar-SA"/>
        </w:rPr>
      </w:pPr>
      <w:r>
        <w:rPr>
          <w:rFonts w:hint="eastAsia" w:ascii="黑体" w:hAnsi="黑体" w:eastAsia="黑体" w:cs="Times New Roman"/>
          <w:spacing w:val="0"/>
          <w:w w:val="100"/>
          <w:position w:val="0"/>
          <w:sz w:val="32"/>
          <w:szCs w:val="32"/>
          <w:u w:val="none"/>
          <w:shd w:val="clear"/>
          <w:vertAlign w:val="baseline"/>
          <w:rtl w:val="0"/>
          <w:lang w:val="zh-TW" w:eastAsia="zh-TW" w:bidi="ar-SA"/>
        </w:rPr>
        <w:t>第</w:t>
      </w:r>
      <w:r>
        <w:rPr>
          <w:rFonts w:hint="eastAsia" w:ascii="黑体" w:hAnsi="黑体" w:eastAsia="黑体" w:cs="Times New Roman"/>
          <w:spacing w:val="0"/>
          <w:w w:val="100"/>
          <w:position w:val="0"/>
          <w:sz w:val="32"/>
          <w:szCs w:val="32"/>
          <w:u w:val="none"/>
          <w:shd w:val="clear"/>
          <w:vertAlign w:val="baseline"/>
          <w:rtl w:val="0"/>
          <w:lang w:val="zh-TW" w:eastAsia="zh-CN" w:bidi="ar-SA"/>
        </w:rPr>
        <w:t>二</w:t>
      </w:r>
      <w:r>
        <w:rPr>
          <w:rFonts w:hint="eastAsia" w:ascii="黑体" w:hAnsi="黑体" w:eastAsia="黑体" w:cs="Times New Roman"/>
          <w:spacing w:val="0"/>
          <w:w w:val="100"/>
          <w:position w:val="0"/>
          <w:sz w:val="32"/>
          <w:szCs w:val="32"/>
          <w:u w:val="none"/>
          <w:shd w:val="clear"/>
          <w:vertAlign w:val="baseline"/>
          <w:rtl w:val="0"/>
          <w:lang w:val="zh-TW" w:eastAsia="zh-TW" w:bidi="ar-SA"/>
        </w:rPr>
        <w:t>章  入学与注册</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第一条</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 xml:space="preserve">  </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入学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suppressAutoHyphens/>
        <w:kinsoku/>
        <w:wordWrap/>
        <w:overflowPunct/>
        <w:topLinePunct w:val="0"/>
        <w:autoSpaceDE/>
        <w:autoSpaceDN/>
        <w:bidi w:val="0"/>
        <w:adjustRightInd/>
        <w:snapToGrid/>
        <w:spacing w:before="0" w:beforeAutospacing="0" w:after="0" w:afterAutospacing="0" w:line="560" w:lineRule="exact"/>
        <w:ind w:left="0" w:right="0" w:firstLine="646"/>
        <w:textAlignment w:val="auto"/>
        <w:outlineLvl w:val="9"/>
        <w:rPr>
          <w:rFonts w:hint="eastAsia" w:ascii="仿宋_GB2312" w:hAnsi="黑体" w:eastAsia="仿宋_GB2312" w:cs="Times New Roman"/>
          <w:spacing w:val="0"/>
          <w:w w:val="100"/>
          <w:position w:val="0"/>
          <w:sz w:val="32"/>
          <w:szCs w:val="32"/>
          <w:u w:val="none"/>
          <w:shd w:val="clear"/>
          <w:vertAlign w:val="baseline"/>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按国家招生规定录取的新生，需持录取通知书、高考准考证、身份证，按学校规定的时间到校办理入学手续。因故不能按期入学的，应当向学校请假，请假时间原则上不超过一周。未请假或者请假逾期的，除因不可抗力等正当事由以外，视为放弃入学资格。</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6"/>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校在新生报到时对新生入学资格进行初步审查，审查合格的办理入学手续，予以注册学籍；审查发现新生的录取通知、考生信息等证明材料，与本人实际情况不符，或者有其他违反国家招生考试规定情形的，需取消入学资格。</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6"/>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CN"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新生可以申请保留入学资格，对患有疾病的新生，经学校指定的二级甲等以上医院诊断不宜在校学习的，需要在家休养的，由本人申请，主管校长批准，可以保留入学资格一年。新生应征参加中国人民解放军</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含中国人民武装警察部队</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，学校保留其入学资格至退役后</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2</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年。保留入学资格期间不具有学籍。</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6"/>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新生保留入学资格期满前应向学校申请入学，经学校审查合格后，办理入学手续。审查不合格的，取消入学资格；逾期不办理入学手续且未有因不可抗力延迟等正当理由的，视为放弃入学资格。</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第二条</w:t>
      </w:r>
      <w:r>
        <w:rPr>
          <w:rFonts w:hint="eastAsia" w:ascii="仿宋_GB2312" w:hAnsi="黑体" w:eastAsia="仿宋_GB2312" w:cs="Times New Roman"/>
          <w:b/>
          <w:bCs/>
          <w:spacing w:val="0"/>
          <w:w w:val="100"/>
          <w:position w:val="0"/>
          <w:sz w:val="32"/>
          <w:szCs w:val="32"/>
          <w:u w:val="none"/>
          <w:shd w:val="clear"/>
          <w:vertAlign w:val="baseline"/>
          <w:rtl w:val="0"/>
          <w:lang w:val="en-US" w:eastAsia="zh-CN" w:bidi="ar-SA"/>
        </w:rPr>
        <w:t xml:space="preserve"> </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 xml:space="preserve"> </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新生入学资格复查</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CN"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学生入学后，学校在</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个月内按照国家招生规定进行复查。复查要求按《沈阳科技学院学生学籍</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学历</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注册管理办法》进行。</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第三条</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 xml:space="preserve">  </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学籍注册</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每学期开学初，学生应当按学校规定办理学籍注册手续。因故不能如期返校（报到）注册者，必须事先履行请假手续，未经准假逾期两周不注册者，取消学籍，予以退学。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第四条</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 xml:space="preserve">  </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缴纳学费</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学籍注册前应当缴纳学费，不能如期注册的，应当履行暂缓学籍注册手续。未按学校规定缴纳学费的或者其他不符合注册条件的，不予注册。家庭经济困难的学生可以申请助学贷款或者其他形式资助，办理有关手续后注册。</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outlineLvl w:val="9"/>
        <w:rPr>
          <w:rFonts w:hint="eastAsia" w:ascii="黑体" w:hAnsi="黑体" w:eastAsia="黑体" w:cs="Times New Roman"/>
          <w:spacing w:val="0"/>
          <w:w w:val="100"/>
          <w:position w:val="0"/>
          <w:sz w:val="32"/>
          <w:szCs w:val="32"/>
          <w:u w:val="none"/>
          <w:shd w:val="clear"/>
          <w:vertAlign w:val="baseline"/>
          <w:rtl w:val="0"/>
          <w:lang w:val="zh-TW" w:eastAsia="zh-TW" w:bidi="ar-SA"/>
        </w:rPr>
      </w:pPr>
      <w:r>
        <w:rPr>
          <w:rFonts w:hint="eastAsia" w:ascii="黑体" w:hAnsi="黑体" w:eastAsia="黑体" w:cs="Times New Roman"/>
          <w:spacing w:val="0"/>
          <w:w w:val="100"/>
          <w:position w:val="0"/>
          <w:sz w:val="32"/>
          <w:szCs w:val="32"/>
          <w:u w:val="none"/>
          <w:shd w:val="clear"/>
          <w:vertAlign w:val="baseline"/>
          <w:rtl w:val="0"/>
          <w:lang w:val="zh-TW" w:eastAsia="zh-TW" w:bidi="ar-SA"/>
        </w:rPr>
        <w:t>第</w:t>
      </w:r>
      <w:r>
        <w:rPr>
          <w:rFonts w:hint="eastAsia" w:ascii="黑体" w:hAnsi="黑体" w:eastAsia="黑体" w:cs="Times New Roman"/>
          <w:spacing w:val="0"/>
          <w:w w:val="100"/>
          <w:position w:val="0"/>
          <w:sz w:val="32"/>
          <w:szCs w:val="32"/>
          <w:u w:val="none"/>
          <w:shd w:val="clear"/>
          <w:vertAlign w:val="baseline"/>
          <w:rtl w:val="0"/>
          <w:lang w:val="zh-TW" w:eastAsia="zh-CN" w:bidi="ar-SA"/>
        </w:rPr>
        <w:t>三</w:t>
      </w:r>
      <w:r>
        <w:rPr>
          <w:rFonts w:hint="eastAsia" w:ascii="黑体" w:hAnsi="黑体" w:eastAsia="黑体" w:cs="Times New Roman"/>
          <w:spacing w:val="0"/>
          <w:w w:val="100"/>
          <w:position w:val="0"/>
          <w:sz w:val="32"/>
          <w:szCs w:val="32"/>
          <w:u w:val="none"/>
          <w:shd w:val="clear"/>
          <w:vertAlign w:val="baseline"/>
          <w:rtl w:val="0"/>
          <w:lang w:val="zh-TW" w:eastAsia="zh-TW" w:bidi="ar-SA"/>
        </w:rPr>
        <w:t>章  学制与修业年限</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第五条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 xml:space="preserve">  修业年限与年级</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本科生标准学制年限为四年</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，实行弹性学制</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。学生根据本人的实际情况设计学习进程可</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提前或</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延迟完成学业，可中途休学。在校学习年限</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含休学时间</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最长为</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八</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年。</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为便于政治思想教育和管理，学生从入学起按基本学制年限制定的专业培养方案每年分为一个年级。在校期间学生应参加所在班级的各项活动。</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outlineLvl w:val="9"/>
        <w:rPr>
          <w:rFonts w:hint="eastAsia" w:ascii="黑体" w:hAnsi="黑体" w:eastAsia="黑体" w:cs="Times New Roman"/>
          <w:spacing w:val="0"/>
          <w:w w:val="100"/>
          <w:position w:val="0"/>
          <w:sz w:val="32"/>
          <w:szCs w:val="32"/>
          <w:u w:val="none"/>
          <w:shd w:val="clear"/>
          <w:vertAlign w:val="baseline"/>
          <w:rtl w:val="0"/>
          <w:lang w:val="zh-TW" w:eastAsia="zh-TW" w:bidi="ar-SA"/>
        </w:rPr>
      </w:pPr>
      <w:r>
        <w:rPr>
          <w:rFonts w:hint="eastAsia" w:ascii="黑体" w:hAnsi="黑体" w:eastAsia="黑体" w:cs="Times New Roman"/>
          <w:spacing w:val="0"/>
          <w:w w:val="100"/>
          <w:position w:val="0"/>
          <w:sz w:val="32"/>
          <w:szCs w:val="32"/>
          <w:u w:val="none"/>
          <w:shd w:val="clear"/>
          <w:vertAlign w:val="baseline"/>
          <w:rtl w:val="0"/>
          <w:lang w:val="zh-TW" w:eastAsia="zh-TW" w:bidi="ar-SA"/>
        </w:rPr>
        <w:t>第</w:t>
      </w:r>
      <w:r>
        <w:rPr>
          <w:rFonts w:hint="eastAsia" w:ascii="黑体" w:hAnsi="黑体" w:eastAsia="黑体" w:cs="Times New Roman"/>
          <w:spacing w:val="0"/>
          <w:w w:val="100"/>
          <w:position w:val="0"/>
          <w:sz w:val="32"/>
          <w:szCs w:val="32"/>
          <w:u w:val="none"/>
          <w:shd w:val="clear"/>
          <w:vertAlign w:val="baseline"/>
          <w:rtl w:val="0"/>
          <w:lang w:val="zh-TW" w:eastAsia="zh-CN" w:bidi="ar-SA"/>
        </w:rPr>
        <w:t>四</w:t>
      </w:r>
      <w:r>
        <w:rPr>
          <w:rFonts w:hint="eastAsia" w:ascii="黑体" w:hAnsi="黑体" w:eastAsia="黑体" w:cs="Times New Roman"/>
          <w:spacing w:val="0"/>
          <w:w w:val="100"/>
          <w:position w:val="0"/>
          <w:sz w:val="32"/>
          <w:szCs w:val="32"/>
          <w:u w:val="none"/>
          <w:shd w:val="clear"/>
          <w:vertAlign w:val="baseline"/>
          <w:rtl w:val="0"/>
          <w:lang w:val="zh-TW" w:eastAsia="zh-TW" w:bidi="ar-SA"/>
        </w:rPr>
        <w:t>章  课程考核与成绩记载</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第六条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 xml:space="preserve">  课程类别与学分</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我校实行学年学分制管理。各专业培养方案中规定的理论课、实验课及实践环节按学期设置，学生需按培养方案要求进行修读。课程分为必修课和选修课。除另有规定外实践教学环节均为必修课。</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理论课程</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16</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学时为</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学分，分散实践环节每学分按</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16</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学时的教学内容设置。每门课程学分以专业培养方案为准，课程的第一次修读为首修。</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 xml:space="preserve">第七条 </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 xml:space="preserve"> 课程考核</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学生须参加专业培养方案规定的所有课程环节的修读及考核，通过考核，取得学分；考核成绩记入学生成绩单，并归入学籍档案。</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课程考核分为期末考核、补考和重修。</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期末考核（</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A</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考）</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课程教学过程结束后，需进行期末考核，也称为首修考核，通过考核评价学生对课程教学内容的掌握情况与水平。理论课成绩评定采用百分制，</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60</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分为及格；考查课成绩可按百分制、五级制、二级制评定。五级制：优秀、良好、中等、及格、不及格；二级制：合格、不合格</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五级制与百分制换算标准为：90-100分为优秀、80-89分为良好、70-79分为中等、60-69分为及格、59分以下为不及格。学生通过课程考核，可取得课程学分；如课程成绩不及格，则学生需通过补考或重修考试，来取得课程学分。</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2.</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补考（</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B</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考）</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考试课</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考核不及格的需参加补考，期末考试旷考以及期末考试受到纪律处分的学生不允许参加正常该课程的补考。</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补考设在下一学期开学初，补考成绩计入学生成绩单，以最高得分计算学分绩。选修课不设补考，可重选或改选其他选修课程。体育课、实验课和实践环节考核不及格不设补考。</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重修（</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C</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考）</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重修指重新修读课程。重修需单独组织或随其它年级进行，并须在进入毕业学期前完成。重修时应按授课要求完成规定的课内外各环节。重修成绩记入成绩单，并以最高得分计算学分绩。</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CN"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w:t>
      </w:r>
      <w:r>
        <w:rPr>
          <w:rFonts w:hint="eastAsia" w:ascii="仿宋_GB2312" w:hAnsi="黑体" w:eastAsia="仿宋_GB2312" w:cs="Times New Roman"/>
          <w:b/>
          <w:bCs/>
          <w:spacing w:val="0"/>
          <w:w w:val="100"/>
          <w:position w:val="0"/>
          <w:sz w:val="32"/>
          <w:szCs w:val="32"/>
          <w:u w:val="none"/>
          <w:shd w:val="clear"/>
          <w:vertAlign w:val="baseline"/>
          <w:rtl w:val="0"/>
          <w:lang w:val="zh-TW" w:eastAsia="zh-CN" w:bidi="ar-SA"/>
        </w:rPr>
        <w:t>八</w:t>
      </w: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 xml:space="preserve">  </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学分认定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学校按照学生学业成绩，真实、完整地记载、出具学生学业成绩，对通过补考、重修获得的成绩，在学生成绩单中予以标注。</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学生因退学等情况中止学业，其在校学习期间所修课程及已获得学分，予以记录。学生重新参加入学考试、符合录取条件，再次入学的，其已获得学分，经学校认定，予以承认。</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已获得学分认定遵循以下原则：</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学生须按再次入学专业培养方案完成本科学业，入学后可提出学分认定申请。</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2.</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学生在原专业已经取得学分的课程与现专业培养方案内对应课程的要求、学时学分相同，可直接认定成绩和学分。所修课程的要求和学时学分低于现专业要求的，应重新修读该门课程，按首修课程记载。</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学生在原专业已经取得学分的课程不包含在现专业培养方案课程体系中，但与现专业相关，可认定为专业选修课学分；与现专业不相关的课程可认定为公共选修课学分。</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4.</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学生已修课程与学分达到该专业高一年级要求，允许学生进入高一年级继续学业。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5.</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其他高校学生因退学等情况中止学业后，重新参加入学考试考入我校的，经学生本人申请，可以按上述细则要求，对其在原学校已修课程和已获学分予以认定和转换。</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w:t>
      </w:r>
      <w:r>
        <w:rPr>
          <w:rFonts w:hint="eastAsia" w:ascii="仿宋_GB2312" w:hAnsi="黑体" w:eastAsia="仿宋_GB2312" w:cs="Times New Roman"/>
          <w:b/>
          <w:bCs/>
          <w:spacing w:val="0"/>
          <w:w w:val="100"/>
          <w:position w:val="0"/>
          <w:sz w:val="32"/>
          <w:szCs w:val="32"/>
          <w:u w:val="none"/>
          <w:shd w:val="clear"/>
          <w:vertAlign w:val="baseline"/>
          <w:rtl w:val="0"/>
          <w:lang w:val="zh-TW" w:eastAsia="zh-CN" w:bidi="ar-SA"/>
        </w:rPr>
        <w:t>九</w:t>
      </w: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 xml:space="preserve">  课程考核方式</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课程考核方式分为考试和考查两种方式，分别对应于考试课和考查课的考核，由专业培养方案规定。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考试课的期末考试一般采用笔试闭卷方式进行。任课教师根据课程性质和特点按有关规定确定适当成绩比例，一般平时考核成绩占总成绩的</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10</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-50</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％，平时考核可以通过作业、</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章节测试</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、课内实验等方式进行，需预先向学生公布考核标准。</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2.</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考查课的期末考查可以采用笔试（闭卷或开卷）、设计、论文、答辩、综合评定等多种形式进行。</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w:t>
      </w:r>
      <w:r>
        <w:rPr>
          <w:rFonts w:hint="eastAsia" w:ascii="仿宋_GB2312" w:hAnsi="黑体" w:eastAsia="仿宋_GB2312" w:cs="Times New Roman"/>
          <w:b/>
          <w:bCs/>
          <w:spacing w:val="0"/>
          <w:w w:val="100"/>
          <w:position w:val="0"/>
          <w:sz w:val="32"/>
          <w:szCs w:val="32"/>
          <w:u w:val="none"/>
          <w:shd w:val="clear"/>
          <w:vertAlign w:val="baseline"/>
          <w:rtl w:val="0"/>
          <w:lang w:val="zh-TW" w:eastAsia="zh-CN" w:bidi="ar-SA"/>
        </w:rPr>
        <w:t>十</w:t>
      </w: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 xml:space="preserve"> 学分绩</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学生学习的质与量采用学分绩进行评价。学分绩计算公式：</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学分绩</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=∑Pi×Ci/∑Ci</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公式中：</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 xml:space="preserve">Pi </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表示第</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i</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门课的成绩；</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Ci</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表示第</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i</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门课对应的学分。如课程成绩为不及格，则没有获得该课程学分，计算学分绩时该课程学分按</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“0”</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计算。</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成绩为等级制的换算标准按下表进行：</w:t>
      </w:r>
    </w:p>
    <w:tbl>
      <w:tblPr>
        <w:tblStyle w:val="3"/>
        <w:tblW w:w="32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1620"/>
        <w:gridCol w:w="16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16" w:hRule="atLeast"/>
          <w:jc w:val="center"/>
        </w:trPr>
        <w:tc>
          <w:tcPr>
            <w:tcW w:w="3240" w:type="dxa"/>
            <w:gridSpan w:val="2"/>
            <w:tcBorders>
              <w:top w:val="single" w:color="000000" w:sz="12" w:space="0"/>
              <w:left w:val="nil"/>
              <w:bottom w:val="single" w:color="000000" w:sz="8" w:space="0"/>
              <w:right w:val="nil"/>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五级分制对应于百分制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1" w:hRule="atLeast"/>
          <w:jc w:val="center"/>
        </w:trPr>
        <w:tc>
          <w:tcPr>
            <w:tcW w:w="1620" w:type="dxa"/>
            <w:tcBorders>
              <w:top w:val="single" w:color="000000" w:sz="8"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五级分制</w:t>
            </w:r>
          </w:p>
        </w:tc>
        <w:tc>
          <w:tcPr>
            <w:tcW w:w="1620" w:type="dxa"/>
            <w:tcBorders>
              <w:top w:val="single" w:color="000000" w:sz="8" w:space="0"/>
              <w:left w:val="single" w:color="000000" w:sz="8" w:space="0"/>
              <w:bottom w:val="single" w:color="000000" w:sz="8" w:space="0"/>
              <w:right w:val="nil"/>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换算标准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1" w:hRule="atLeast"/>
          <w:jc w:val="center"/>
        </w:trPr>
        <w:tc>
          <w:tcPr>
            <w:tcW w:w="1620" w:type="dxa"/>
            <w:tcBorders>
              <w:top w:val="single" w:color="000000" w:sz="8"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优秀</w:t>
            </w:r>
          </w:p>
        </w:tc>
        <w:tc>
          <w:tcPr>
            <w:tcW w:w="1620" w:type="dxa"/>
            <w:tcBorders>
              <w:top w:val="single" w:color="000000" w:sz="8" w:space="0"/>
              <w:left w:val="single" w:color="000000" w:sz="8" w:space="0"/>
              <w:bottom w:val="single" w:color="000000" w:sz="8" w:space="0"/>
              <w:right w:val="nil"/>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宋体" w:hAnsi="宋体" w:eastAsia="宋体" w:cs="宋体"/>
                <w:kern w:val="0"/>
                <w:shd w:val="clear" w:color="auto" w:fill="auto"/>
                <w:rtl w:val="0"/>
                <w:lang w:val="en-US"/>
              </w:rPr>
              <w:t>95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1" w:hRule="atLeast"/>
          <w:jc w:val="center"/>
        </w:trPr>
        <w:tc>
          <w:tcPr>
            <w:tcW w:w="1620" w:type="dxa"/>
            <w:tcBorders>
              <w:top w:val="single" w:color="000000" w:sz="8"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良好</w:t>
            </w:r>
          </w:p>
        </w:tc>
        <w:tc>
          <w:tcPr>
            <w:tcW w:w="1620" w:type="dxa"/>
            <w:tcBorders>
              <w:top w:val="single" w:color="000000" w:sz="8" w:space="0"/>
              <w:left w:val="single" w:color="000000" w:sz="8" w:space="0"/>
              <w:bottom w:val="single" w:color="000000" w:sz="8" w:space="0"/>
              <w:right w:val="nil"/>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宋体" w:hAnsi="宋体" w:eastAsia="宋体" w:cs="宋体"/>
                <w:kern w:val="0"/>
                <w:shd w:val="clear" w:color="auto" w:fill="auto"/>
                <w:rtl w:val="0"/>
                <w:lang w:val="en-US"/>
              </w:rPr>
              <w:t>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1" w:hRule="atLeast"/>
          <w:jc w:val="center"/>
        </w:trPr>
        <w:tc>
          <w:tcPr>
            <w:tcW w:w="1620" w:type="dxa"/>
            <w:tcBorders>
              <w:top w:val="single" w:color="000000" w:sz="8"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中等</w:t>
            </w:r>
          </w:p>
        </w:tc>
        <w:tc>
          <w:tcPr>
            <w:tcW w:w="1620" w:type="dxa"/>
            <w:tcBorders>
              <w:top w:val="single" w:color="000000" w:sz="8" w:space="0"/>
              <w:left w:val="single" w:color="000000" w:sz="8" w:space="0"/>
              <w:bottom w:val="single" w:color="000000" w:sz="8" w:space="0"/>
              <w:right w:val="nil"/>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宋体" w:hAnsi="宋体" w:eastAsia="宋体" w:cs="宋体"/>
                <w:kern w:val="0"/>
                <w:shd w:val="clear" w:color="auto" w:fill="auto"/>
                <w:rtl w:val="0"/>
                <w:lang w:val="en-US"/>
              </w:rPr>
              <w:t>75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1" w:hRule="atLeast"/>
          <w:jc w:val="center"/>
        </w:trPr>
        <w:tc>
          <w:tcPr>
            <w:tcW w:w="1620" w:type="dxa"/>
            <w:tcBorders>
              <w:top w:val="single" w:color="000000" w:sz="8"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及格</w:t>
            </w:r>
          </w:p>
        </w:tc>
        <w:tc>
          <w:tcPr>
            <w:tcW w:w="1620" w:type="dxa"/>
            <w:tcBorders>
              <w:top w:val="single" w:color="000000" w:sz="8" w:space="0"/>
              <w:left w:val="single" w:color="000000" w:sz="8" w:space="0"/>
              <w:bottom w:val="single" w:color="000000" w:sz="8" w:space="0"/>
              <w:right w:val="nil"/>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宋体" w:hAnsi="宋体" w:eastAsia="宋体" w:cs="宋体"/>
                <w:kern w:val="0"/>
                <w:shd w:val="clear" w:color="auto" w:fill="auto"/>
                <w:rtl w:val="0"/>
                <w:lang w:val="en-US"/>
              </w:rPr>
              <w:t>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6" w:hRule="atLeast"/>
          <w:jc w:val="center"/>
        </w:trPr>
        <w:tc>
          <w:tcPr>
            <w:tcW w:w="1620" w:type="dxa"/>
            <w:tcBorders>
              <w:top w:val="single" w:color="000000" w:sz="8" w:space="0"/>
              <w:left w:val="nil"/>
              <w:bottom w:val="single" w:color="000000" w:sz="12"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不及格</w:t>
            </w:r>
          </w:p>
        </w:tc>
        <w:tc>
          <w:tcPr>
            <w:tcW w:w="1620" w:type="dxa"/>
            <w:tcBorders>
              <w:top w:val="single" w:color="000000" w:sz="8" w:space="0"/>
              <w:left w:val="single" w:color="000000" w:sz="8" w:space="0"/>
              <w:bottom w:val="single" w:color="000000" w:sz="12" w:space="0"/>
              <w:right w:val="nil"/>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宋体" w:hAnsi="宋体" w:eastAsia="宋体" w:cs="宋体"/>
                <w:kern w:val="0"/>
                <w:shd w:val="clear" w:color="auto" w:fill="auto"/>
                <w:rtl w:val="0"/>
                <w:lang w:val="en-US"/>
              </w:rPr>
              <w:t>0</w:t>
            </w:r>
          </w:p>
        </w:tc>
      </w:tr>
    </w:tbl>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420"/>
        <w:jc w:val="left"/>
        <w:textAlignment w:val="auto"/>
        <w:rPr>
          <w:rFonts w:ascii="宋体" w:hAnsi="宋体" w:eastAsia="宋体" w:cs="宋体"/>
          <w:kern w:val="0"/>
        </w:rPr>
      </w:pPr>
    </w:p>
    <w:tbl>
      <w:tblPr>
        <w:tblStyle w:val="3"/>
        <w:tblW w:w="308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1460"/>
        <w:gridCol w:w="16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16" w:hRule="atLeast"/>
          <w:jc w:val="center"/>
        </w:trPr>
        <w:tc>
          <w:tcPr>
            <w:tcW w:w="3080" w:type="dxa"/>
            <w:gridSpan w:val="2"/>
            <w:tcBorders>
              <w:top w:val="single" w:color="000000" w:sz="12" w:space="0"/>
              <w:left w:val="nil"/>
              <w:bottom w:val="single" w:color="000000" w:sz="8" w:space="0"/>
              <w:right w:val="nil"/>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二级分制对应于百分制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1" w:hRule="atLeast"/>
          <w:jc w:val="center"/>
        </w:trPr>
        <w:tc>
          <w:tcPr>
            <w:tcW w:w="1460" w:type="dxa"/>
            <w:tcBorders>
              <w:top w:val="single" w:color="000000" w:sz="8"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二级分制</w:t>
            </w:r>
          </w:p>
        </w:tc>
        <w:tc>
          <w:tcPr>
            <w:tcW w:w="1620" w:type="dxa"/>
            <w:tcBorders>
              <w:top w:val="single" w:color="000000" w:sz="8" w:space="0"/>
              <w:left w:val="single" w:color="000000" w:sz="8" w:space="0"/>
              <w:bottom w:val="single" w:color="000000" w:sz="8" w:space="0"/>
              <w:right w:val="nil"/>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换算标准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1" w:hRule="atLeast"/>
          <w:jc w:val="center"/>
        </w:trPr>
        <w:tc>
          <w:tcPr>
            <w:tcW w:w="1460" w:type="dxa"/>
            <w:tcBorders>
              <w:top w:val="single" w:color="000000" w:sz="8"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合格</w:t>
            </w:r>
          </w:p>
        </w:tc>
        <w:tc>
          <w:tcPr>
            <w:tcW w:w="1620" w:type="dxa"/>
            <w:tcBorders>
              <w:top w:val="single" w:color="000000" w:sz="8" w:space="0"/>
              <w:left w:val="single" w:color="000000" w:sz="8" w:space="0"/>
              <w:bottom w:val="single" w:color="000000" w:sz="8" w:space="0"/>
              <w:right w:val="nil"/>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宋体" w:hAnsi="宋体" w:eastAsia="宋体" w:cs="宋体"/>
                <w:kern w:val="0"/>
                <w:shd w:val="clear" w:color="auto" w:fill="auto"/>
                <w:rtl w:val="0"/>
                <w:lang w:val="en-US"/>
              </w:rPr>
              <w:t>75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6" w:hRule="atLeast"/>
          <w:jc w:val="center"/>
        </w:trPr>
        <w:tc>
          <w:tcPr>
            <w:tcW w:w="1460" w:type="dxa"/>
            <w:tcBorders>
              <w:top w:val="single" w:color="000000" w:sz="8" w:space="0"/>
              <w:left w:val="nil"/>
              <w:bottom w:val="single" w:color="000000" w:sz="12"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等线" w:hAnsi="等线" w:eastAsia="等线" w:cs="等线"/>
                <w:kern w:val="0"/>
                <w:shd w:val="clear" w:color="auto" w:fill="auto"/>
                <w:rtl w:val="0"/>
                <w:lang w:val="zh-TW" w:eastAsia="zh-TW"/>
              </w:rPr>
              <w:t>不合格</w:t>
            </w:r>
          </w:p>
        </w:tc>
        <w:tc>
          <w:tcPr>
            <w:tcW w:w="1620" w:type="dxa"/>
            <w:tcBorders>
              <w:top w:val="single" w:color="000000" w:sz="8" w:space="0"/>
              <w:left w:val="single" w:color="000000" w:sz="8" w:space="0"/>
              <w:bottom w:val="single" w:color="000000" w:sz="12" w:space="0"/>
              <w:right w:val="nil"/>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center"/>
              <w:textAlignment w:val="auto"/>
            </w:pPr>
            <w:r>
              <w:rPr>
                <w:rFonts w:ascii="宋体" w:hAnsi="宋体" w:eastAsia="宋体" w:cs="宋体"/>
                <w:kern w:val="0"/>
                <w:shd w:val="clear" w:color="auto" w:fill="auto"/>
                <w:rtl w:val="0"/>
                <w:lang w:val="en-US"/>
              </w:rPr>
              <w:t>0</w:t>
            </w:r>
          </w:p>
        </w:tc>
      </w:tr>
    </w:tbl>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jc w:val="left"/>
        <w:textAlignment w:val="auto"/>
        <w:rPr>
          <w:rFonts w:ascii="宋体" w:hAnsi="宋体" w:eastAsia="宋体" w:cs="宋体"/>
          <w:kern w:val="0"/>
          <w:sz w:val="28"/>
          <w:szCs w:val="28"/>
        </w:rPr>
      </w:pP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进行班级排名、奖学金评比等工作时，以学生专业培养方案中规定的所有必修课程环节列为学分绩的计算范围；申请学士学位时，以专业培养方案中规定的学位课列为学分绩的计算范围。</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第十</w:t>
      </w:r>
      <w:r>
        <w:rPr>
          <w:rFonts w:hint="eastAsia" w:ascii="仿宋_GB2312" w:hAnsi="黑体" w:eastAsia="仿宋_GB2312" w:cs="Times New Roman"/>
          <w:b/>
          <w:bCs/>
          <w:spacing w:val="0"/>
          <w:w w:val="100"/>
          <w:position w:val="0"/>
          <w:sz w:val="32"/>
          <w:szCs w:val="32"/>
          <w:u w:val="none"/>
          <w:shd w:val="clear"/>
          <w:vertAlign w:val="baseline"/>
          <w:rtl w:val="0"/>
          <w:lang w:val="zh-TW" w:eastAsia="zh-CN" w:bidi="ar-SA"/>
        </w:rPr>
        <w:t>一</w:t>
      </w: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 xml:space="preserve">  期末考试资格</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有下列情形之一，取消学生参加该课程期末考试资格：</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缺课时数累计达到本门授课时数</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以上学时的；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2.</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该课程所含课外环节、实验实践环节考核不合格的；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符合其它有关规定的。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第十</w:t>
      </w:r>
      <w:r>
        <w:rPr>
          <w:rFonts w:hint="eastAsia" w:ascii="仿宋_GB2312" w:hAnsi="黑体" w:eastAsia="仿宋_GB2312" w:cs="Times New Roman"/>
          <w:b/>
          <w:bCs/>
          <w:spacing w:val="0"/>
          <w:w w:val="100"/>
          <w:position w:val="0"/>
          <w:sz w:val="32"/>
          <w:szCs w:val="32"/>
          <w:u w:val="none"/>
          <w:shd w:val="clear"/>
          <w:vertAlign w:val="baseline"/>
          <w:rtl w:val="0"/>
          <w:lang w:val="zh-TW" w:eastAsia="zh-CN" w:bidi="ar-SA"/>
        </w:rPr>
        <w:t>二</w:t>
      </w: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 xml:space="preserve">  缓考与旷考</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在学校安排的考试时间，学生如确有原因无法参加考试，需经本人自愿申请，向教务处申请办理缓考。缓考随下一学期开学初的补考一同进行。</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2.</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缓考成绩按照期末考试成绩对待。缓考不及格的不设补考。</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擅自不参加期末考核视作旷考。</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第十</w:t>
      </w:r>
      <w:r>
        <w:rPr>
          <w:rFonts w:hint="eastAsia" w:ascii="仿宋_GB2312" w:hAnsi="黑体" w:eastAsia="仿宋_GB2312" w:cs="Times New Roman"/>
          <w:b/>
          <w:bCs/>
          <w:spacing w:val="0"/>
          <w:w w:val="100"/>
          <w:position w:val="0"/>
          <w:sz w:val="32"/>
          <w:szCs w:val="32"/>
          <w:u w:val="none"/>
          <w:shd w:val="clear"/>
          <w:vertAlign w:val="baseline"/>
          <w:rtl w:val="0"/>
          <w:lang w:val="zh-TW" w:eastAsia="zh-CN" w:bidi="ar-SA"/>
        </w:rPr>
        <w:t>三</w:t>
      </w: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 xml:space="preserve">  补考资格</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有下列情形之一，无参加补考的资格：</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en-US"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期末考试受到纪律处分的；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en-US"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2.</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期末考试旷考的；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en-US"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被取消参加期末考试资格的；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en-US"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4.</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期末考核已经及格的；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en-US"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5.</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符合其它有关规定的。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第十</w:t>
      </w:r>
      <w:r>
        <w:rPr>
          <w:rFonts w:hint="eastAsia" w:ascii="仿宋_GB2312" w:hAnsi="黑体" w:eastAsia="仿宋_GB2312" w:cs="Times New Roman"/>
          <w:b/>
          <w:bCs/>
          <w:spacing w:val="0"/>
          <w:w w:val="100"/>
          <w:position w:val="0"/>
          <w:sz w:val="32"/>
          <w:szCs w:val="32"/>
          <w:u w:val="none"/>
          <w:shd w:val="clear"/>
          <w:vertAlign w:val="baseline"/>
          <w:rtl w:val="0"/>
          <w:lang w:val="zh-TW" w:eastAsia="zh-CN" w:bidi="ar-SA"/>
        </w:rPr>
        <w:t>四</w:t>
      </w:r>
      <w:r>
        <w:rPr>
          <w:rFonts w:hint="eastAsia" w:ascii="仿宋_GB2312" w:hAnsi="黑体" w:eastAsia="仿宋_GB2312" w:cs="Times New Roman"/>
          <w:b/>
          <w:bCs/>
          <w:spacing w:val="0"/>
          <w:w w:val="100"/>
          <w:position w:val="0"/>
          <w:sz w:val="32"/>
          <w:szCs w:val="32"/>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 xml:space="preserve">  课程考核违规认定与处理</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课程考核违规行为分为违纪和作弊。课程考核违规者根据其违规情节和对错误的认识程度进行处理，情节严重的分别给予警告、严重警告、记过、留校察看、开除学籍等纪律处分。具体的认定与处理按《沈阳科技学院</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学生</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考试违规处理办法》中有关规定执行。</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第十</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CN" w:bidi="ar-SA"/>
        </w:rPr>
        <w:t>五</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 xml:space="preserve">  学籍审查</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CN" w:eastAsia="zh-CN" w:bidi="ar-SA"/>
        </w:rPr>
        <w:t>为督促学生学习，每</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学期</w:t>
      </w:r>
      <w:r>
        <w:rPr>
          <w:rFonts w:hint="eastAsia" w:ascii="仿宋_GB2312" w:hAnsi="黑体" w:eastAsia="仿宋_GB2312" w:cs="Times New Roman"/>
          <w:spacing w:val="0"/>
          <w:w w:val="100"/>
          <w:position w:val="0"/>
          <w:sz w:val="32"/>
          <w:szCs w:val="32"/>
          <w:u w:val="none"/>
          <w:shd w:val="clear"/>
          <w:vertAlign w:val="baseline"/>
          <w:rtl w:val="0"/>
          <w:lang w:val="zh-CN" w:eastAsia="zh-CN" w:bidi="ar-SA"/>
        </w:rPr>
        <w:t>初依据学生成绩开展</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学籍审查</w:t>
      </w:r>
      <w:r>
        <w:rPr>
          <w:rFonts w:hint="eastAsia" w:ascii="仿宋_GB2312" w:hAnsi="黑体" w:eastAsia="仿宋_GB2312" w:cs="Times New Roman"/>
          <w:spacing w:val="0"/>
          <w:w w:val="100"/>
          <w:position w:val="0"/>
          <w:sz w:val="32"/>
          <w:szCs w:val="32"/>
          <w:u w:val="none"/>
          <w:shd w:val="clear"/>
          <w:vertAlign w:val="baseline"/>
          <w:rtl w:val="0"/>
          <w:lang w:val="zh-CN" w:eastAsia="zh-CN" w:bidi="ar-SA"/>
        </w:rPr>
        <w:t>工作</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对于上一学期或上一学年不及格课程进行统计，具体处理按《沈阳科技学院全日制本科生学业预警管理办法》中有关规定执行。</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outlineLvl w:val="9"/>
        <w:rPr>
          <w:rFonts w:hint="eastAsia" w:ascii="黑体" w:hAnsi="黑体" w:eastAsia="黑体" w:cs="Times New Roman"/>
          <w:spacing w:val="0"/>
          <w:w w:val="100"/>
          <w:position w:val="0"/>
          <w:sz w:val="32"/>
          <w:szCs w:val="32"/>
          <w:u w:val="none"/>
          <w:shd w:val="clear"/>
          <w:vertAlign w:val="baseline"/>
          <w:rtl w:val="0"/>
          <w:lang w:val="zh-TW" w:eastAsia="zh-TW" w:bidi="ar-SA"/>
        </w:rPr>
      </w:pPr>
      <w:r>
        <w:rPr>
          <w:rFonts w:hint="eastAsia" w:ascii="黑体" w:hAnsi="黑体" w:eastAsia="黑体" w:cs="Times New Roman"/>
          <w:spacing w:val="0"/>
          <w:w w:val="100"/>
          <w:position w:val="0"/>
          <w:sz w:val="32"/>
          <w:szCs w:val="32"/>
          <w:u w:val="none"/>
          <w:shd w:val="clear"/>
          <w:vertAlign w:val="baseline"/>
          <w:rtl w:val="0"/>
          <w:lang w:val="zh-TW" w:eastAsia="zh-TW" w:bidi="ar-SA"/>
        </w:rPr>
        <w:t>第</w:t>
      </w:r>
      <w:r>
        <w:rPr>
          <w:rFonts w:hint="eastAsia" w:ascii="黑体" w:hAnsi="黑体" w:eastAsia="黑体" w:cs="Times New Roman"/>
          <w:spacing w:val="0"/>
          <w:w w:val="100"/>
          <w:position w:val="0"/>
          <w:sz w:val="32"/>
          <w:szCs w:val="32"/>
          <w:u w:val="none"/>
          <w:shd w:val="clear"/>
          <w:vertAlign w:val="baseline"/>
          <w:rtl w:val="0"/>
          <w:lang w:val="zh-TW" w:eastAsia="zh-CN" w:bidi="ar-SA"/>
        </w:rPr>
        <w:t>五</w:t>
      </w:r>
      <w:r>
        <w:rPr>
          <w:rFonts w:hint="eastAsia" w:ascii="黑体" w:hAnsi="黑体" w:eastAsia="黑体" w:cs="Times New Roman"/>
          <w:spacing w:val="0"/>
          <w:w w:val="100"/>
          <w:position w:val="0"/>
          <w:sz w:val="32"/>
          <w:szCs w:val="32"/>
          <w:u w:val="none"/>
          <w:shd w:val="clear"/>
          <w:vertAlign w:val="baseline"/>
          <w:rtl w:val="0"/>
          <w:lang w:val="zh-TW" w:eastAsia="zh-TW" w:bidi="ar-SA"/>
        </w:rPr>
        <w:t>章  学籍异动</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第十</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CN" w:bidi="ar-SA"/>
        </w:rPr>
        <w:t>六</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 xml:space="preserve">  休学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1.</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学生一般应当在标准学制内完成学业，最长学习年限包含休学、保留学籍等不在校时段。</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新生和在校学生应征参加中国人民解放军</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含中国人民武装警察部队</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，学校保留其入学资格或者学籍至退役后</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2</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年。</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2.</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可以分阶段完成学业，学生申请休学或学校认为应当休学的，由学校批准，可以休学。学生休学由本人提出书面申请，一次休学一般以一学年为限，并记入学习年限内，复学后原则上要随下一年级修读，休学次数一般不得超过</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两</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次。</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学生具有下列情况之一的，必须休学：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①</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因病经学校指定医院诊断，须停课治疗、休养时间占一学期总学时三分之一以上的；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学校认为学生应当休学的。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学生具有下列情况之一的，可以申请休学：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①</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休学创业；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自费出国留学；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③</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其它特殊原因。</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4.</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学生休学创业需提供相关创业资料（创办企业法人证或创业项目证明材料），学生本人提出休学创业书面申请，学校审核创业情况并备案。</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5.</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休学学生应当办理手续离校，学校为其保留学籍，但不享受在校学习学生待遇。因病休学学生的医疗费按国家及当地的有关规定处理。</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CN"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6.</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学期课程全部结束至下一学期开学一周内办理休学手续，除特殊原因外，其它时间不办理休学手续。</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第十</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CN" w:bidi="ar-SA"/>
        </w:rPr>
        <w:t>七</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 xml:space="preserve">  复学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学生休学期满，应当于学期开学后一周内向学校提出复学申请，并提供相关材料，经学校复查合格后，方可复学，并需办理复学手续以及学籍注册。</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因伤、病休学的学生，申请复学时，应当经学校指定医院诊断并提供复学诊断书，证明恢复健康，方可复学。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学生复学后，原则上须随下一年级原专业学习。若原专业已调整、合并，则转入调整、合并后的专业，若原专业停办可转入本校与原专业性质相近专业的下一年级学习。</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第十</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CN" w:bidi="ar-SA"/>
        </w:rPr>
        <w:t>八</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 xml:space="preserve">  退学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学生有下列情况之一者，应予退学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①</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在一学期内缺课超过总学时</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的；</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②</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在学校规定的年限内（含休学）不能完成学业的；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③</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休学期满，在学校规定期限内未提出复学申请或者申请复学经复查不合格的；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④</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经学校指定医院确诊，患有疾病或者意外伤残无法在校继续学习的；</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⑤</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未请假连续两周未参加学校规定的教学活动的；</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⑥</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超过学校规定期限未注册而又未履行暂缓注册手续的；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CN"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⑦</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本人申请退学的</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2.</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学生本人申请退学的，经学校审核同意后，办理退学手续。其他退学学生，提交校长办公会或者校长授权的专门会议研究决定。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对退学的学生，由学校出具退学决定并直接送达学生本人，学生拒绝签收的，可以以留置方式送达；已离校的，可以采取邮寄方式送达；难于联系的，可以利用学校官方媒体以公告方式送达。</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4.</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学生对退学处理有异议的，在接到学校退学决定之日起</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10</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日内，按照《沈阳科技学院学生申诉处理办法》，向学校学生申诉处理委员会提出书面申诉。</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学生对复查决定有异议的，在接到学校复查决定书之日起</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15</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日内，可以向辽宁省教育厅提出书面申诉。</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自退学决定或者复查决定书送达之日起，学生在申诉期内未提出申诉的视为放弃申诉，学校不再受理其提出的申诉。</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5.</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退学学生在接到学校退学决定或复查决定书一周内办理退学手续离校，档案由学校退回其家庭所在地，户口应当按照国家相关规定迁回原户籍地或者家庭户籍所在地。</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退学学生由学校有关部门注销其在校各种关系。</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第十</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CN" w:bidi="ar-SA"/>
        </w:rPr>
        <w:t>九</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 xml:space="preserve">条 </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 xml:space="preserve"> 转专业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学校根据社会对人才需求情况的发展变化，适当调整学生所学专业，允许在读学生转到其他相关专业就读。学生满足在学习期间对其他专业有兴趣和专长，学习成绩优异的等条件，按《沈阳科技学院</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学生</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转专业</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工作实施细则</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》有关规定，可以申请转专业。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学生在校应征入伍，服役期间表现优秀，退役后根据国家相关政策可以申请调整专业。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学生转专业须经本人申请，教务主管部门和学生主管部门审核，校长办公</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会</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会议批准，可以调整学生所学专业。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第</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CN" w:bidi="ar-SA"/>
        </w:rPr>
        <w:t>二十</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 xml:space="preserve">  转学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学生一般应当在本校完成学业。因患病或者有特殊困难、特别需要，无法继续在本校学习或者不适应本校学习要求的，可以申请转学。有下列情形之一，不得转学：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1.</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入学未满一学期或者毕业前一年的；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2.</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高考成绩低于拟转入学校相关专业同一生源地相应年份录取成绩的；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由低学历层次转为高学历层次的；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4.</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以定向就业招生录取的；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5.</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无正当转学理由的。</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转学由学生本人提出申请，说明理由，经所在学校和拟转入学校同意，由转入学校负责审核转学条件及相关证明，认为符合本校培养要求且学校有培养能力的，经学校校长办公会或者专题会议研究决定，可以转入。</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学校对转学情况应及时进行公示，并在转学完成后</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3</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个月内，将转入学生情况报辽宁省教育厅备案。</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outlineLvl w:val="9"/>
        <w:rPr>
          <w:rFonts w:hint="eastAsia" w:ascii="黑体" w:hAnsi="黑体" w:eastAsia="黑体" w:cs="Times New Roman"/>
          <w:spacing w:val="0"/>
          <w:w w:val="100"/>
          <w:position w:val="0"/>
          <w:sz w:val="32"/>
          <w:szCs w:val="32"/>
          <w:u w:val="none"/>
          <w:shd w:val="clear"/>
          <w:vertAlign w:val="baseline"/>
          <w:rtl w:val="0"/>
          <w:lang w:val="zh-TW" w:eastAsia="zh-TW" w:bidi="ar-SA"/>
        </w:rPr>
      </w:pPr>
      <w:r>
        <w:rPr>
          <w:rFonts w:hint="eastAsia" w:ascii="黑体" w:hAnsi="黑体" w:eastAsia="黑体" w:cs="Times New Roman"/>
          <w:spacing w:val="0"/>
          <w:w w:val="100"/>
          <w:position w:val="0"/>
          <w:sz w:val="32"/>
          <w:szCs w:val="32"/>
          <w:u w:val="none"/>
          <w:shd w:val="clear"/>
          <w:vertAlign w:val="baseline"/>
          <w:rtl w:val="0"/>
          <w:lang w:val="zh-TW" w:eastAsia="zh-TW" w:bidi="ar-SA"/>
        </w:rPr>
        <w:t>第</w:t>
      </w:r>
      <w:r>
        <w:rPr>
          <w:rFonts w:hint="eastAsia" w:ascii="黑体" w:hAnsi="黑体" w:eastAsia="黑体" w:cs="Times New Roman"/>
          <w:spacing w:val="0"/>
          <w:w w:val="100"/>
          <w:position w:val="0"/>
          <w:sz w:val="32"/>
          <w:szCs w:val="32"/>
          <w:u w:val="none"/>
          <w:shd w:val="clear"/>
          <w:vertAlign w:val="baseline"/>
          <w:rtl w:val="0"/>
          <w:lang w:val="zh-TW" w:eastAsia="zh-CN" w:bidi="ar-SA"/>
        </w:rPr>
        <w:t>六</w:t>
      </w:r>
      <w:r>
        <w:rPr>
          <w:rFonts w:hint="eastAsia" w:ascii="黑体" w:hAnsi="黑体" w:eastAsia="黑体" w:cs="Times New Roman"/>
          <w:spacing w:val="0"/>
          <w:w w:val="100"/>
          <w:position w:val="0"/>
          <w:sz w:val="32"/>
          <w:szCs w:val="32"/>
          <w:u w:val="none"/>
          <w:shd w:val="clear"/>
          <w:vertAlign w:val="baseline"/>
          <w:rtl w:val="0"/>
          <w:lang w:val="zh-TW" w:eastAsia="zh-TW" w:bidi="ar-SA"/>
        </w:rPr>
        <w:t>章  毕业与学位</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第二十</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CN" w:bidi="ar-SA"/>
        </w:rPr>
        <w:t>一</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 xml:space="preserve">  毕业学期</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毕业学期</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是</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指专业培养方案规定的最后一个学期，一般集中安排毕业环节</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毕业设计、论文等</w:t>
      </w:r>
      <w:r>
        <w:rPr>
          <w:rFonts w:hint="eastAsia" w:ascii="仿宋_GB2312" w:hAnsi="黑体" w:eastAsia="仿宋_GB2312" w:cs="Times New Roman"/>
          <w:spacing w:val="0"/>
          <w:w w:val="100"/>
          <w:position w:val="0"/>
          <w:sz w:val="32"/>
          <w:szCs w:val="32"/>
          <w:u w:val="none"/>
          <w:shd w:val="clear"/>
          <w:vertAlign w:val="baseline"/>
          <w:rtl w:val="0"/>
          <w:lang w:val="en-US" w:eastAsia="zh-TW" w:bidi="ar-SA"/>
        </w:rPr>
        <w:t>)</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。在毕业学期除专业培养方案中安排课程外不得注册修读任何其它课程。</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第二十</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CN" w:bidi="ar-SA"/>
        </w:rPr>
        <w:t>二</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 xml:space="preserve">  毕业及学位资格审核</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学生在规定修业年限内，按照其相应专业培养方案的规定修读课程、参加实践性教学环节和其它教育环节，修满规定的各类学分，达到学校毕业要求，方可毕业，由学校发给毕业证书。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取得毕业资格的学生，符合学士学位授予条件的，由所在系学位评定委员会审查推荐，经学校学位评定委员会审核通过后，授予学士学位。学位授予条件详见《</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沈阳科技学院</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学士学位授予</w:t>
      </w:r>
      <w:r>
        <w:rPr>
          <w:rFonts w:hint="eastAsia" w:ascii="仿宋_GB2312" w:hAnsi="黑体" w:eastAsia="仿宋_GB2312" w:cs="Times New Roman"/>
          <w:spacing w:val="0"/>
          <w:w w:val="100"/>
          <w:position w:val="0"/>
          <w:sz w:val="32"/>
          <w:szCs w:val="32"/>
          <w:u w:val="none"/>
          <w:shd w:val="clear"/>
          <w:vertAlign w:val="baseline"/>
          <w:rtl w:val="0"/>
          <w:lang w:val="zh-TW" w:eastAsia="zh-CN" w:bidi="ar-SA"/>
        </w:rPr>
        <w:t>工作</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实施细则》。</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第二十</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CN" w:bidi="ar-SA"/>
        </w:rPr>
        <w:t>三</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 xml:space="preserve">  结业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学生在学校规定修业年限内修完专业培养方案规定内容，但未达到毕业要求的，准予结业，发给结业证书。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结业的学生离校后，可以在修业年限内向学校申请参加课程考试获得学分，其中实习实践类课程、毕业设计（论文）答辩重做的必须随下一年级的安排同时进行。经考核合格后，达到学校毕业要求的，换发毕业证书，符合学士学位授予条件的，授予学士学位。毕业时间和获得学位时间为换发证书的时间。</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第二十</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CN" w:bidi="ar-SA"/>
        </w:rPr>
        <w:t>四</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条</w:t>
      </w:r>
      <w:r>
        <w:rPr>
          <w:rFonts w:hint="eastAsia" w:ascii="仿宋_GB2312" w:hAnsi="黑体" w:eastAsia="仿宋_GB2312" w:cs="Times New Roman"/>
          <w:b/>
          <w:bCs/>
          <w:spacing w:val="0"/>
          <w:w w:val="100"/>
          <w:position w:val="0"/>
          <w:sz w:val="32"/>
          <w:szCs w:val="32"/>
          <w:highlight w:val="none"/>
          <w:u w:val="none"/>
          <w:shd w:val="clear"/>
          <w:vertAlign w:val="baseline"/>
          <w:rtl w:val="0"/>
          <w:lang w:val="en-US" w:eastAsia="zh-CN" w:bidi="ar-SA"/>
        </w:rPr>
        <w:t xml:space="preserve"> </w:t>
      </w:r>
      <w:r>
        <w:rPr>
          <w:rFonts w:hint="eastAsia" w:ascii="仿宋_GB2312" w:hAnsi="黑体" w:eastAsia="仿宋_GB2312" w:cs="Times New Roman"/>
          <w:spacing w:val="0"/>
          <w:w w:val="100"/>
          <w:position w:val="0"/>
          <w:sz w:val="32"/>
          <w:szCs w:val="32"/>
          <w:highlight w:val="none"/>
          <w:u w:val="none"/>
          <w:shd w:val="clear"/>
          <w:vertAlign w:val="baseline"/>
          <w:rtl w:val="0"/>
          <w:lang w:val="en-US" w:eastAsia="zh-CN" w:bidi="ar-SA"/>
        </w:rPr>
        <w:t xml:space="preserve"> </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肄业</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学满一学年以上退学的学生，由学校发给肄业证书。未满一学年退学的学生，学校可发放写实性学习证明。</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pP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第二十</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CN" w:bidi="ar-SA"/>
        </w:rPr>
        <w:t>五</w:t>
      </w:r>
      <w:r>
        <w:rPr>
          <w:rFonts w:hint="eastAsia" w:ascii="仿宋_GB2312" w:hAnsi="黑体" w:eastAsia="仿宋_GB2312" w:cs="Times New Roman"/>
          <w:b/>
          <w:bCs/>
          <w:spacing w:val="0"/>
          <w:w w:val="100"/>
          <w:position w:val="0"/>
          <w:sz w:val="32"/>
          <w:szCs w:val="32"/>
          <w:highlight w:val="none"/>
          <w:u w:val="none"/>
          <w:shd w:val="clear"/>
          <w:vertAlign w:val="baseline"/>
          <w:rtl w:val="0"/>
          <w:lang w:val="zh-TW" w:eastAsia="zh-TW" w:bidi="ar-SA"/>
        </w:rPr>
        <w:t>条</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 xml:space="preserve"> </w:t>
      </w:r>
      <w:r>
        <w:rPr>
          <w:rFonts w:hint="eastAsia" w:ascii="仿宋_GB2312" w:hAnsi="黑体" w:eastAsia="仿宋_GB2312" w:cs="Times New Roman"/>
          <w:spacing w:val="0"/>
          <w:w w:val="100"/>
          <w:position w:val="0"/>
          <w:sz w:val="32"/>
          <w:szCs w:val="32"/>
          <w:highlight w:val="none"/>
          <w:u w:val="none"/>
          <w:shd w:val="clear"/>
          <w:vertAlign w:val="baseline"/>
          <w:rtl w:val="0"/>
          <w:lang w:val="en-US" w:eastAsia="zh-CN" w:bidi="ar-SA"/>
        </w:rPr>
        <w:t xml:space="preserve"> </w:t>
      </w:r>
      <w:r>
        <w:rPr>
          <w:rFonts w:hint="eastAsia" w:ascii="仿宋_GB2312" w:hAnsi="黑体" w:eastAsia="仿宋_GB2312" w:cs="Times New Roman"/>
          <w:spacing w:val="0"/>
          <w:w w:val="100"/>
          <w:position w:val="0"/>
          <w:sz w:val="32"/>
          <w:szCs w:val="32"/>
          <w:highlight w:val="none"/>
          <w:u w:val="none"/>
          <w:shd w:val="clear"/>
          <w:vertAlign w:val="baseline"/>
          <w:rtl w:val="0"/>
          <w:lang w:val="zh-TW" w:eastAsia="zh-TW" w:bidi="ar-SA"/>
        </w:rPr>
        <w:t>学业证书管理</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学校严格按照招生时确定的办学类型和学习形式，以及学生招生录取时填报的个人信息，填写、颁发学历证书、学位证书及其他学业证书。</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学生在校期间变更姓名、出生日期等证书需填写的个人信息的，应当有合理、充分的理由，并提供有法定效力的相应证明文件，由学校审查相关材料。</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对违反国家招生规定取得入学资格或者学籍的，学校取消其学籍，不得发给学历证书、学位证书；已发的学历证书、学位证书，学校依法予以撤销。对以作弊、剽窃、抄袭等学术不端行为或者其他不正当手段获得学历证书、学位证书的，学校依法予以撤销。</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被撤销的学历证书、学位证书已注册的，学校予以注销并报教育行政部门宣布无效。</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学历证书和学位证书遗失或者损坏，经本人申请，学校核实后应当出具相应的证明书。证明书与原证书具有同等效力。</w:t>
      </w:r>
    </w:p>
    <w:p>
      <w:pPr>
        <w:keepNext w:val="0"/>
        <w:keepLines w:val="0"/>
        <w:pageBreakBefore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5"/>
        <w:textAlignment w:val="auto"/>
        <w:outlineLvl w:val="9"/>
        <w:rPr>
          <w:rFonts w:hint="eastAsia" w:ascii="仿宋_GB2312" w:hAnsi="黑体" w:eastAsia="仿宋_GB2312" w:cs="Times New Roman"/>
          <w:spacing w:val="0"/>
          <w:w w:val="100"/>
          <w:position w:val="0"/>
          <w:sz w:val="32"/>
          <w:szCs w:val="32"/>
          <w:u w:val="none"/>
          <w:shd w:val="clear"/>
          <w:vertAlign w:val="baseline"/>
          <w:rtl w:val="0"/>
          <w:lang w:val="zh-TW" w:eastAsia="zh-TW" w:bidi="ar-SA"/>
        </w:rPr>
      </w:pP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本办法自公布之日起施</w:t>
      </w:r>
      <w:r>
        <w:rPr>
          <w:rFonts w:hint="eastAsia" w:ascii="仿宋_GB2312" w:hAnsi="黑体" w:eastAsia="仿宋_GB2312" w:cs="Times New Roman"/>
          <w:spacing w:val="0"/>
          <w:w w:val="100"/>
          <w:position w:val="0"/>
          <w:sz w:val="32"/>
          <w:szCs w:val="32"/>
          <w:u w:val="none"/>
          <w:shd w:val="clear"/>
          <w:vertAlign w:val="baseline"/>
          <w:rtl w:val="0"/>
          <w:lang w:val="en-US" w:eastAsia="zh-CN" w:bidi="ar-SA"/>
        </w:rPr>
        <w:t>行</w:t>
      </w:r>
      <w:r>
        <w:rPr>
          <w:rFonts w:hint="eastAsia" w:ascii="仿宋_GB2312" w:hAnsi="黑体" w:eastAsia="仿宋_GB2312" w:cs="Times New Roman"/>
          <w:spacing w:val="0"/>
          <w:w w:val="100"/>
          <w:position w:val="0"/>
          <w:sz w:val="32"/>
          <w:szCs w:val="32"/>
          <w:u w:val="none"/>
          <w:shd w:val="clear"/>
          <w:vertAlign w:val="baseline"/>
          <w:rtl w:val="0"/>
          <w:lang w:val="zh-TW" w:eastAsia="zh-TW" w:bidi="ar-SA"/>
        </w:rPr>
        <w:t>，由教务处负责解释。</w:t>
      </w:r>
    </w:p>
    <w:sectPr>
      <w:headerReference r:id="rId5" w:type="default"/>
      <w:footerReference r:id="rId6" w:type="default"/>
      <w:pgSz w:w="11900" w:h="16840"/>
      <w:pgMar w:top="1701" w:right="1701" w:bottom="1701" w:left="1701" w:header="851" w:footer="992"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8AAFE2-DDBA-4ADB-97E7-51ED986B63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C42B7E5-726C-4A91-AAA0-FDAEF742D0D6}"/>
  </w:font>
  <w:font w:name="仿宋_GB2312">
    <w:panose1 w:val="02010609030101010101"/>
    <w:charset w:val="86"/>
    <w:family w:val="auto"/>
    <w:pitch w:val="default"/>
    <w:sig w:usb0="00000001" w:usb1="080E0000" w:usb2="00000000" w:usb3="00000000" w:csb0="00040000" w:csb1="00000000"/>
    <w:embedRegular r:id="rId3" w:fontKey="{2CB1E60B-3C34-44B1-8532-E4BA760E469F}"/>
  </w:font>
  <w:font w:name="方正仿宋简体">
    <w:panose1 w:val="02000000000000000000"/>
    <w:charset w:val="86"/>
    <w:family w:val="auto"/>
    <w:pitch w:val="default"/>
    <w:sig w:usb0="A00002BF" w:usb1="184F6CFA" w:usb2="00000012" w:usb3="00000000" w:csb0="00040001" w:csb1="00000000"/>
  </w:font>
  <w:font w:name="等线">
    <w:panose1 w:val="02010600030101010101"/>
    <w:charset w:val="86"/>
    <w:family w:val="roman"/>
    <w:pitch w:val="default"/>
    <w:sig w:usb0="A00002BF" w:usb1="38CF7CFA" w:usb2="00000016" w:usb3="00000000" w:csb0="0004000F" w:csb1="00000000"/>
    <w:embedRegular r:id="rId4" w:fontKey="{B9B8C4F6-5EE0-4ECA-A88B-D61250BE1A43}"/>
  </w:font>
  <w:font w:name="PingFang SC Regular">
    <w:altName w:val="Segoe Print"/>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5" w:fontKey="{F6D65BF0-2A00-417D-B1C7-FD56101C590E}"/>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0"/>
  <w:displayVerticalDrawingGridEvery w:val="2"/>
  <w:noLineBreaksAfter w:lang="zh-CN" w:val="‘“(〔[{〈《「『【⦅〘〖«〝︵︷︹︻︽︿﹁﹃﹇﹙﹛﹝｢"/>
  <w:noLineBreaksBefore w:lang="zh-CN" w:val="’”)〕]}〉"/>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YWE1MGJiN2ZkMWMxYWEzZGUzOTg5YzlhNDE0NmRmMWUifQ=="/>
  </w:docVars>
  <w:rsids>
    <w:rsidRoot w:val="00172A27"/>
    <w:rsid w:val="00D10645"/>
    <w:rsid w:val="03A5273A"/>
    <w:rsid w:val="05A547EA"/>
    <w:rsid w:val="0BFA514F"/>
    <w:rsid w:val="0E446CDC"/>
    <w:rsid w:val="125B46F2"/>
    <w:rsid w:val="13675A6C"/>
    <w:rsid w:val="1C32352D"/>
    <w:rsid w:val="1CDE2677"/>
    <w:rsid w:val="1EAC7E14"/>
    <w:rsid w:val="22DC3DB7"/>
    <w:rsid w:val="246D0A09"/>
    <w:rsid w:val="2FE04785"/>
    <w:rsid w:val="36851A87"/>
    <w:rsid w:val="397D4BF1"/>
    <w:rsid w:val="3B435CC5"/>
    <w:rsid w:val="3B457B92"/>
    <w:rsid w:val="3CD10CF6"/>
    <w:rsid w:val="3E677F46"/>
    <w:rsid w:val="3EDF7953"/>
    <w:rsid w:val="3F8F3AD1"/>
    <w:rsid w:val="43655275"/>
    <w:rsid w:val="4A1F52FD"/>
    <w:rsid w:val="4AA03036"/>
    <w:rsid w:val="4ADB41A9"/>
    <w:rsid w:val="4B4439C2"/>
    <w:rsid w:val="4EE53BFB"/>
    <w:rsid w:val="4EF97303"/>
    <w:rsid w:val="4FDE09DE"/>
    <w:rsid w:val="523A27C0"/>
    <w:rsid w:val="52604C60"/>
    <w:rsid w:val="527A6F92"/>
    <w:rsid w:val="53025ED5"/>
    <w:rsid w:val="587F76B7"/>
    <w:rsid w:val="5BD37D10"/>
    <w:rsid w:val="5D047CB1"/>
    <w:rsid w:val="62D651A9"/>
    <w:rsid w:val="650220EC"/>
    <w:rsid w:val="659147D3"/>
    <w:rsid w:val="681A4DEF"/>
    <w:rsid w:val="6A9478E7"/>
    <w:rsid w:val="6BAF4F71"/>
    <w:rsid w:val="6EC8573C"/>
    <w:rsid w:val="71710EA0"/>
    <w:rsid w:val="71AA0A59"/>
    <w:rsid w:val="78FA5CD1"/>
    <w:rsid w:val="79775B0D"/>
    <w:rsid w:val="7BAD41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等线" w:hAnsi="等线" w:eastAsia="等线" w:cs="等线"/>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宋体" w:hAnsi="宋体" w:eastAsia="宋体" w:cs="宋体"/>
      <w:color w:val="000000"/>
      <w:spacing w:val="0"/>
      <w:w w:val="100"/>
      <w:kern w:val="0"/>
      <w:position w:val="0"/>
      <w:sz w:val="24"/>
      <w:szCs w:val="24"/>
      <w:u w:val="none" w:color="000000"/>
      <w:shd w:val="clear" w:color="auto" w:fill="auto"/>
      <w:vertAlign w:val="baseline"/>
      <w:lang w:val="en-US"/>
    </w:rPr>
  </w:style>
  <w:style w:type="character" w:styleId="5">
    <w:name w:val="Hyperlink"/>
    <w:autoRedefine/>
    <w:qFormat/>
    <w:uiPriority w:val="0"/>
    <w:rPr>
      <w:u w:val="single"/>
    </w:rPr>
  </w:style>
  <w:style w:type="table" w:customStyle="1" w:styleId="6">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14</Pages>
  <Lines>1</Lines>
  <Paragraphs>1</Paragraphs>
  <TotalTime>44</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2023-12-04T01:05:00Z</dcterms:created>
  <dc:creator>Administrator</dc:creator>
  <cp:lastModifiedBy>WPS_390281945</cp:lastModifiedBy>
  <cp:lastPrinted>2023-12-04T06:08:00Z</cp:lastPrinted>
  <dcterms:modified xsi:type="dcterms:W3CDTF">2024-04-12T06:09:46Z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D853FFF1F2694978A9EACD6946416469_13</vt:lpwstr>
  </property>
</Properties>
</file>