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教学材料（考试类）归档要求</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根据学校</w:t>
      </w:r>
      <w:r>
        <w:rPr>
          <w:rFonts w:hint="eastAsia" w:ascii="仿宋_GB2312" w:hAnsi="仿宋_GB2312" w:eastAsia="仿宋_GB2312" w:cs="仿宋_GB2312"/>
          <w:b/>
          <w:bCs/>
          <w:sz w:val="30"/>
          <w:szCs w:val="30"/>
          <w:highlight w:val="none"/>
          <w:lang w:val="en-US" w:eastAsia="zh-CN"/>
        </w:rPr>
        <w:t>《沈阳科技学院教学档案管理办法》</w:t>
      </w:r>
      <w:r>
        <w:rPr>
          <w:rFonts w:hint="eastAsia" w:ascii="仿宋_GB2312" w:hAnsi="仿宋_GB2312" w:eastAsia="仿宋_GB2312" w:cs="仿宋_GB2312"/>
          <w:b/>
          <w:bCs/>
          <w:sz w:val="30"/>
          <w:szCs w:val="30"/>
          <w:lang w:val="en-US" w:eastAsia="zh-CN"/>
        </w:rPr>
        <w:t>要求，2023-2024学年第二学期按照开课系部归档，关于试卷存档说明如下：</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一、试卷存档装订</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归档装订试卷，装订后称为《试卷册》。</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sz w:val="30"/>
          <w:szCs w:val="30"/>
          <w:lang w:val="en-US" w:eastAsia="zh-CN"/>
        </w:rPr>
        <w:t>（一）装订顺序：</w:t>
      </w:r>
      <w:r>
        <w:rPr>
          <w:rFonts w:hint="eastAsia" w:ascii="仿宋_GB2312" w:hAnsi="仿宋_GB2312" w:eastAsia="仿宋_GB2312" w:cs="仿宋_GB2312"/>
          <w:sz w:val="30"/>
          <w:szCs w:val="30"/>
          <w:highlight w:val="yellow"/>
          <w:lang w:val="en-US" w:eastAsia="zh-CN"/>
        </w:rPr>
        <w:t>原</w:t>
      </w:r>
      <w:r>
        <w:rPr>
          <w:rFonts w:hint="eastAsia" w:ascii="仿宋_GB2312" w:hAnsi="仿宋_GB2312" w:eastAsia="仿宋_GB2312" w:cs="仿宋_GB2312"/>
          <w:b/>
          <w:bCs/>
          <w:sz w:val="30"/>
          <w:szCs w:val="30"/>
          <w:highlight w:val="yellow"/>
          <w:lang w:val="en-US" w:eastAsia="zh-CN"/>
        </w:rPr>
        <w:t>试卷封装</w:t>
      </w:r>
      <w:r>
        <w:rPr>
          <w:rFonts w:hint="eastAsia" w:ascii="仿宋_GB2312" w:hAnsi="仿宋_GB2312" w:eastAsia="仿宋_GB2312" w:cs="仿宋_GB2312"/>
          <w:b/>
          <w:bCs/>
          <w:color w:val="auto"/>
          <w:sz w:val="30"/>
          <w:szCs w:val="30"/>
          <w:highlight w:val="yellow"/>
        </w:rPr>
        <w:t>皮</w:t>
      </w:r>
      <w:r>
        <w:rPr>
          <w:rFonts w:hint="eastAsia" w:ascii="仿宋_GB2312" w:hAnsi="仿宋_GB2312" w:eastAsia="仿宋_GB2312" w:cs="仿宋_GB2312"/>
          <w:color w:val="auto"/>
          <w:sz w:val="30"/>
          <w:szCs w:val="30"/>
          <w:highlight w:val="yellow"/>
          <w:lang w:eastAsia="zh-CN"/>
        </w:rPr>
        <w:t>更换为</w:t>
      </w:r>
      <w:r>
        <w:rPr>
          <w:rFonts w:hint="eastAsia" w:ascii="仿宋_GB2312" w:hAnsi="仿宋_GB2312" w:eastAsia="仿宋_GB2312" w:cs="仿宋_GB2312"/>
          <w:b/>
          <w:bCs/>
          <w:color w:val="auto"/>
          <w:sz w:val="30"/>
          <w:szCs w:val="30"/>
          <w:highlight w:val="yellow"/>
          <w:lang w:eastAsia="zh-CN"/>
        </w:rPr>
        <w:t>试卷册封皮</w:t>
      </w:r>
      <w:r>
        <w:rPr>
          <w:rFonts w:hint="eastAsia" w:ascii="仿宋_GB2312" w:hAnsi="仿宋_GB2312" w:eastAsia="仿宋_GB2312" w:cs="仿宋_GB2312"/>
          <w:color w:val="auto"/>
          <w:sz w:val="30"/>
          <w:szCs w:val="30"/>
        </w:rPr>
        <w:t>→阅卷记录表→空白试卷→学生作答试卷</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b/>
          <w:bCs/>
          <w:color w:val="auto"/>
          <w:sz w:val="30"/>
          <w:szCs w:val="30"/>
          <w:lang w:eastAsia="zh-CN"/>
        </w:rPr>
        <w:t>按成绩单学号排序</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rPr>
        <w:t>→封底</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（二）装订方法：沿试卷册封皮外折线向后折包住试卷，按照装订线装订，装订后可查看学生姓名。</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b/>
          <w:bCs/>
          <w:sz w:val="30"/>
          <w:szCs w:val="30"/>
          <w:lang w:eastAsia="zh-CN"/>
        </w:rPr>
        <w:t>试卷册封皮</w:t>
      </w:r>
      <w:r>
        <w:rPr>
          <w:rFonts w:hint="eastAsia" w:ascii="仿宋_GB2312" w:hAnsi="仿宋_GB2312" w:eastAsia="仿宋_GB2312" w:cs="仿宋_GB2312"/>
          <w:sz w:val="30"/>
          <w:szCs w:val="30"/>
          <w:lang w:eastAsia="zh-CN"/>
        </w:rPr>
        <w:t>样式</w:t>
      </w:r>
      <w:r>
        <w:rPr>
          <w:rFonts w:hint="eastAsia" w:ascii="仿宋_GB2312" w:hAnsi="仿宋_GB2312" w:eastAsia="仿宋_GB2312" w:cs="仿宋_GB2312"/>
          <w:sz w:val="30"/>
          <w:szCs w:val="30"/>
          <w:lang w:val="en-US" w:eastAsia="zh-CN"/>
        </w:rPr>
        <w:t>如图所示：</w:t>
      </w:r>
    </w:p>
    <w:p>
      <w:pPr>
        <w:keepNext w:val="0"/>
        <w:keepLines w:val="0"/>
        <w:pageBreakBefore w:val="0"/>
        <w:widowControl w:val="0"/>
        <w:kinsoku/>
        <w:wordWrap/>
        <w:overflowPunct/>
        <w:topLinePunct w:val="0"/>
        <w:autoSpaceDE/>
        <w:autoSpaceDN/>
        <w:bidi w:val="0"/>
        <w:jc w:val="center"/>
        <w:textAlignment w:val="auto"/>
        <w:rPr>
          <w:rFonts w:hint="eastAsia" w:ascii="仿宋_GB2312" w:hAnsi="仿宋_GB2312" w:eastAsia="仿宋_GB2312" w:cs="仿宋_GB2312"/>
          <w:sz w:val="30"/>
          <w:szCs w:val="30"/>
          <w:lang w:val="en-US" w:eastAsia="zh-CN"/>
        </w:rPr>
      </w:pPr>
      <w:r>
        <w:drawing>
          <wp:inline distT="0" distB="0" distL="114300" distR="114300">
            <wp:extent cx="3529330" cy="2160270"/>
            <wp:effectExtent l="0" t="0" r="13970" b="1143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4"/>
                    <a:stretch>
                      <a:fillRect/>
                    </a:stretch>
                  </pic:blipFill>
                  <pic:spPr>
                    <a:xfrm>
                      <a:off x="0" y="0"/>
                      <a:ext cx="3529330" cy="21602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注：归档人应为本门课程任课教师，归档审核人可为本教研室其他教师。</w:t>
      </w:r>
    </w:p>
    <w:p>
      <w:pPr>
        <w:keepNext w:val="0"/>
        <w:keepLines w:val="0"/>
        <w:pageBreakBefore w:val="0"/>
        <w:widowControl w:val="0"/>
        <w:kinsoku/>
        <w:wordWrap/>
        <w:overflowPunct/>
        <w:topLinePunct w:val="0"/>
        <w:autoSpaceDE/>
        <w:autoSpaceDN/>
        <w:bidi w:val="0"/>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b/>
          <w:bCs/>
          <w:color w:val="auto"/>
          <w:sz w:val="30"/>
          <w:szCs w:val="30"/>
        </w:rPr>
        <w:t>阅卷记录表</w:t>
      </w:r>
      <w:r>
        <w:rPr>
          <w:rFonts w:hint="eastAsia" w:ascii="仿宋_GB2312" w:hAnsi="仿宋_GB2312" w:eastAsia="仿宋_GB2312" w:cs="仿宋_GB2312"/>
          <w:sz w:val="30"/>
          <w:szCs w:val="30"/>
          <w:lang w:eastAsia="zh-CN"/>
        </w:rPr>
        <w:t>样式</w:t>
      </w:r>
      <w:r>
        <w:rPr>
          <w:rFonts w:hint="eastAsia" w:ascii="仿宋_GB2312" w:hAnsi="仿宋_GB2312" w:eastAsia="仿宋_GB2312" w:cs="仿宋_GB2312"/>
          <w:sz w:val="30"/>
          <w:szCs w:val="30"/>
          <w:lang w:val="en-US" w:eastAsia="zh-CN"/>
        </w:rPr>
        <w:t>如图所示：</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仿宋_GB2312" w:eastAsia="仿宋_GB2312" w:cs="仿宋_GB2312"/>
          <w:sz w:val="30"/>
          <w:szCs w:val="30"/>
          <w:lang w:val="en-US" w:eastAsia="zh-CN"/>
        </w:rPr>
      </w:pPr>
      <w:r>
        <w:drawing>
          <wp:inline distT="0" distB="0" distL="114300" distR="114300">
            <wp:extent cx="3307080" cy="2160270"/>
            <wp:effectExtent l="0" t="0" r="7620"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3307080" cy="21602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ind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注：阅卷应流水批阅，按实际填写阅卷记录。核分人和复核人应不同。</w:t>
      </w:r>
    </w:p>
    <w:p>
      <w:pPr>
        <w:pStyle w:val="4"/>
        <w:keepNext w:val="0"/>
        <w:keepLines w:val="0"/>
        <w:pageBreakBefore w:val="0"/>
        <w:widowControl w:val="0"/>
        <w:numPr>
          <w:ilvl w:val="0"/>
          <w:numId w:val="1"/>
        </w:numPr>
        <w:kinsoku/>
        <w:wordWrap/>
        <w:overflowPunct/>
        <w:topLinePunct w:val="0"/>
        <w:autoSpaceDE/>
        <w:autoSpaceDN/>
        <w:bidi w:val="0"/>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书写格式</w:t>
      </w:r>
      <w:r>
        <w:rPr>
          <w:rFonts w:hint="eastAsia" w:ascii="仿宋_GB2312" w:hAnsi="仿宋_GB2312" w:eastAsia="仿宋_GB2312" w:cs="仿宋_GB2312"/>
          <w:b/>
          <w:bCs/>
          <w:sz w:val="30"/>
          <w:szCs w:val="30"/>
        </w:rPr>
        <w:t>统</w:t>
      </w:r>
      <w:r>
        <w:rPr>
          <w:rFonts w:hint="eastAsia" w:ascii="仿宋_GB2312" w:hAnsi="仿宋_GB2312" w:eastAsia="仿宋_GB2312" w:cs="仿宋_GB2312"/>
          <w:b/>
          <w:bCs/>
          <w:sz w:val="30"/>
          <w:szCs w:val="30"/>
          <w:lang w:val="en-US" w:eastAsia="zh-CN"/>
        </w:rPr>
        <w:t>一要求</w:t>
      </w:r>
    </w:p>
    <w:p>
      <w:pPr>
        <w:pStyle w:val="4"/>
        <w:keepNext w:val="0"/>
        <w:keepLines w:val="0"/>
        <w:pageBreakBefore w:val="0"/>
        <w:widowControl w:val="0"/>
        <w:numPr>
          <w:ilvl w:val="0"/>
          <w:numId w:val="2"/>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所有填写专业班级按下列形式填写：</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color w:val="auto"/>
          <w:sz w:val="30"/>
          <w:szCs w:val="30"/>
          <w:lang w:val="en-US" w:eastAsia="zh-CN"/>
        </w:rPr>
        <w:t>1.单个班级：电气2101</w:t>
      </w:r>
      <w:r>
        <w:rPr>
          <w:rFonts w:hint="eastAsia" w:ascii="仿宋_GB2312" w:hAnsi="仿宋_GB2312" w:eastAsia="仿宋_GB2312" w:cs="仿宋_GB2312"/>
          <w:sz w:val="30"/>
          <w:szCs w:val="30"/>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2.</w:t>
      </w:r>
      <w:r>
        <w:rPr>
          <w:rFonts w:hint="eastAsia" w:ascii="仿宋_GB2312" w:hAnsi="仿宋_GB2312" w:eastAsia="仿宋_GB2312" w:cs="仿宋_GB2312"/>
          <w:sz w:val="30"/>
          <w:szCs w:val="30"/>
          <w:lang w:val="en-US" w:eastAsia="zh-CN"/>
        </w:rPr>
        <w:t>班级数量少的可写为：电气2101-2106、计算机2101-2106；</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3.班级数量多的可写为：2021级互联网金融、金融、评估、工商、会计专业班级；2021级工商、会计、评估、互联网金融、金融专业班级；</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4.大学外语：2021级全体专业班级（除社体专业）；</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5.全体班级书写格式：2021级全体专业班级；</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b/>
          <w:bCs/>
          <w:sz w:val="30"/>
          <w:szCs w:val="30"/>
          <w:highlight w:val="none"/>
          <w:lang w:val="en-US" w:eastAsia="zh-CN"/>
        </w:rPr>
        <w:t>专业方向课</w:t>
      </w:r>
      <w:r>
        <w:rPr>
          <w:rFonts w:hint="eastAsia" w:ascii="仿宋_GB2312" w:hAnsi="仿宋_GB2312" w:eastAsia="仿宋_GB2312" w:cs="仿宋_GB2312"/>
          <w:sz w:val="30"/>
          <w:szCs w:val="30"/>
          <w:highlight w:val="none"/>
          <w:lang w:val="en-US" w:eastAsia="zh-CN"/>
        </w:rPr>
        <w:t>班级书写格式</w:t>
      </w:r>
      <w:r>
        <w:rPr>
          <w:rFonts w:hint="eastAsia" w:ascii="仿宋_GB2312" w:hAnsi="仿宋_GB2312" w:eastAsia="仿宋_GB2312" w:cs="仿宋_GB2312"/>
          <w:sz w:val="30"/>
          <w:szCs w:val="30"/>
          <w:lang w:val="en-US" w:eastAsia="zh-CN"/>
        </w:rPr>
        <w:t>：计算机2021-2018（XX方向）。</w:t>
      </w:r>
    </w:p>
    <w:p>
      <w:pPr>
        <w:pStyle w:val="4"/>
        <w:keepNext w:val="0"/>
        <w:keepLines w:val="0"/>
        <w:pageBreakBefore w:val="0"/>
        <w:widowControl w:val="0"/>
        <w:numPr>
          <w:ilvl w:val="0"/>
          <w:numId w:val="3"/>
        </w:numPr>
        <w:kinsoku/>
        <w:wordWrap/>
        <w:overflowPunct/>
        <w:topLinePunct w:val="0"/>
        <w:autoSpaceDE/>
        <w:autoSpaceDN/>
        <w:bidi w:val="0"/>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学年学期书写格式：</w:t>
      </w:r>
    </w:p>
    <w:p>
      <w:pPr>
        <w:pStyle w:val="4"/>
        <w:keepNext w:val="0"/>
        <w:keepLines w:val="0"/>
        <w:pageBreakBefore w:val="0"/>
        <w:widowControl w:val="0"/>
        <w:numPr>
          <w:ilvl w:val="0"/>
          <w:numId w:val="0"/>
        </w:numPr>
        <w:kinsoku/>
        <w:wordWrap/>
        <w:overflowPunct/>
        <w:topLinePunct w:val="0"/>
        <w:autoSpaceDE/>
        <w:autoSpaceDN/>
        <w:bidi w:val="0"/>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全称2023-2024学年 第二学期</w:t>
      </w:r>
    </w:p>
    <w:p>
      <w:pPr>
        <w:pStyle w:val="4"/>
        <w:keepNext w:val="0"/>
        <w:keepLines w:val="0"/>
        <w:pageBreakBefore w:val="0"/>
        <w:widowControl w:val="0"/>
        <w:numPr>
          <w:ilvl w:val="0"/>
          <w:numId w:val="0"/>
        </w:numPr>
        <w:kinsoku/>
        <w:wordWrap/>
        <w:overflowPunct/>
        <w:topLinePunct w:val="0"/>
        <w:autoSpaceDE/>
        <w:autoSpaceDN/>
        <w:bidi w:val="0"/>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简称2023-2024（2）</w:t>
      </w:r>
    </w:p>
    <w:p>
      <w:pPr>
        <w:keepNext w:val="0"/>
        <w:keepLines w:val="0"/>
        <w:pageBreakBefore w:val="0"/>
        <w:widowControl w:val="0"/>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三、试卷存放</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b/>
          <w:bCs/>
          <w:color w:val="auto"/>
          <w:sz w:val="30"/>
          <w:szCs w:val="30"/>
          <w:lang w:val="en-US" w:eastAsia="zh-CN"/>
        </w:rPr>
        <w:t>试题册附件袋</w:t>
      </w:r>
      <w:r>
        <w:rPr>
          <w:rFonts w:hint="eastAsia" w:ascii="仿宋_GB2312" w:hAnsi="仿宋_GB2312" w:eastAsia="仿宋_GB2312" w:cs="仿宋_GB2312"/>
          <w:sz w:val="30"/>
          <w:szCs w:val="30"/>
          <w:lang w:val="en-US" w:eastAsia="zh-CN"/>
        </w:rPr>
        <w:t>样式如图所示：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rPr>
          <w:rFonts w:hint="eastAsia" w:ascii="仿宋_GB2312" w:hAnsi="仿宋_GB2312" w:eastAsia="仿宋_GB2312" w:cs="仿宋_GB2312"/>
          <w:sz w:val="30"/>
          <w:szCs w:val="30"/>
          <w:lang w:val="en-US" w:eastAsia="zh-CN"/>
        </w:rPr>
      </w:pPr>
      <w:r>
        <w:drawing>
          <wp:inline distT="0" distB="0" distL="114300" distR="114300">
            <wp:extent cx="2021205" cy="2879725"/>
            <wp:effectExtent l="0" t="0" r="17145" b="1587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6"/>
                    <a:stretch>
                      <a:fillRect/>
                    </a:stretch>
                  </pic:blipFill>
                  <pic:spPr>
                    <a:xfrm>
                      <a:off x="0" y="0"/>
                      <a:ext cx="2021205" cy="28797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（二）试题册附件袋存档要求：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1.教学大纲</w:t>
      </w:r>
      <w:r>
        <w:rPr>
          <w:rFonts w:hint="eastAsia" w:ascii="仿宋_GB2312" w:hAnsi="仿宋_GB2312" w:eastAsia="仿宋_GB2312" w:cs="仿宋_GB2312"/>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可放复印件</w:t>
      </w:r>
      <w:r>
        <w:rPr>
          <w:rFonts w:hint="eastAsia" w:ascii="仿宋_GB2312" w:hAnsi="仿宋_GB2312" w:eastAsia="仿宋_GB2312" w:cs="仿宋_GB2312"/>
          <w:color w:val="auto"/>
          <w:sz w:val="30"/>
          <w:szCs w:val="30"/>
          <w:lang w:val="en-US" w:eastAsia="zh-CN"/>
        </w:rPr>
        <w:t>。</w:t>
      </w:r>
      <w:r>
        <w:rPr>
          <w:rFonts w:hint="eastAsia" w:ascii="仿宋_GB2312" w:hAnsi="仿宋_GB2312" w:eastAsia="仿宋_GB2312" w:cs="仿宋_GB2312"/>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sz w:val="30"/>
          <w:szCs w:val="30"/>
          <w:lang w:val="en-US" w:eastAsia="zh-CN"/>
        </w:rPr>
        <w:t>2.教学日历</w:t>
      </w:r>
      <w:r>
        <w:rPr>
          <w:rFonts w:hint="eastAsia" w:ascii="仿宋_GB2312" w:hAnsi="仿宋_GB2312" w:eastAsia="仿宋_GB2312" w:cs="仿宋_GB2312"/>
          <w:color w:val="auto"/>
          <w:sz w:val="30"/>
          <w:szCs w:val="30"/>
          <w:lang w:val="en-US" w:eastAsia="zh-CN"/>
        </w:rPr>
        <w:t>【按教学班打印（A4）归档，可放复印件。】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3.命题计划表【A、B卷各一份，可放复印件。】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4.命题审查表【可放复印件。】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5.样卷【</w:t>
      </w:r>
      <w:r>
        <w:rPr>
          <w:rFonts w:hint="eastAsia" w:ascii="仿宋_GB2312" w:hAnsi="仿宋_GB2312" w:eastAsia="仿宋_GB2312" w:cs="仿宋_GB2312"/>
          <w:sz w:val="30"/>
          <w:szCs w:val="30"/>
          <w:lang w:val="en-US" w:eastAsia="zh-CN"/>
        </w:rPr>
        <w:t>①</w:t>
      </w:r>
      <w:r>
        <w:rPr>
          <w:rFonts w:hint="eastAsia" w:ascii="仿宋_GB2312" w:hAnsi="仿宋_GB2312" w:eastAsia="仿宋_GB2312" w:cs="仿宋_GB2312"/>
          <w:color w:val="auto"/>
          <w:sz w:val="30"/>
          <w:szCs w:val="30"/>
          <w:lang w:val="en-US" w:eastAsia="zh-CN"/>
        </w:rPr>
        <w:t>A、B样卷；上机样卷要求与A、B样卷要求一致，均可放复印件。</w:t>
      </w:r>
      <w:r>
        <w:rPr>
          <w:rFonts w:hint="eastAsia" w:ascii="仿宋_GB2312" w:hAnsi="仿宋_GB2312" w:eastAsia="仿宋_GB2312" w:cs="仿宋_GB2312"/>
          <w:sz w:val="30"/>
          <w:szCs w:val="30"/>
          <w:lang w:val="en-US" w:eastAsia="zh-CN"/>
        </w:rPr>
        <w:t>②</w:t>
      </w:r>
      <w:r>
        <w:rPr>
          <w:rFonts w:hint="eastAsia" w:ascii="仿宋_GB2312" w:hAnsi="仿宋_GB2312" w:eastAsia="仿宋_GB2312" w:cs="仿宋_GB2312"/>
          <w:color w:val="auto"/>
          <w:sz w:val="30"/>
          <w:szCs w:val="30"/>
          <w:lang w:val="en-US" w:eastAsia="zh-CN"/>
        </w:rPr>
        <w:t>样卷题目与评分标准及参考答案中的题目须保持一致。】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6.评分标准及参考答案【①</w:t>
      </w:r>
      <w:r>
        <w:rPr>
          <w:rFonts w:hint="eastAsia" w:ascii="仿宋_GB2312" w:hAnsi="仿宋_GB2312" w:eastAsia="仿宋_GB2312" w:cs="仿宋_GB2312"/>
          <w:color w:val="auto"/>
          <w:sz w:val="30"/>
          <w:szCs w:val="30"/>
          <w:lang w:val="en-US" w:eastAsia="zh-CN"/>
        </w:rPr>
        <w:t>每页命题人与审核人签字须手签，不可使用签字章。</w:t>
      </w:r>
      <w:r>
        <w:rPr>
          <w:rFonts w:hint="eastAsia" w:ascii="仿宋_GB2312" w:hAnsi="仿宋_GB2312" w:eastAsia="仿宋_GB2312" w:cs="仿宋_GB2312"/>
          <w:sz w:val="30"/>
          <w:szCs w:val="30"/>
          <w:lang w:val="en-US" w:eastAsia="zh-CN"/>
        </w:rPr>
        <w:t>②A、B卷答案（选择题、多选题、判断题、论述题、简答题等）评分标准应规范。如：题目中应含有类似提示“正确打√，错误打✕”；“多选、错选和漏选均不得分”；“如论点正确可酌情给分”。】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7.成绩记录明细【①教务管理系统打印的学生成绩单；②</w:t>
      </w:r>
      <w:r>
        <w:rPr>
          <w:rFonts w:hint="eastAsia" w:ascii="仿宋_GB2312" w:hAnsi="仿宋_GB2312" w:eastAsia="仿宋_GB2312" w:cs="仿宋_GB2312"/>
          <w:color w:val="auto"/>
          <w:sz w:val="30"/>
          <w:szCs w:val="30"/>
          <w:lang w:val="en-US" w:eastAsia="zh-CN"/>
        </w:rPr>
        <w:t>授课手册中涉及到学生成绩过程记录的部分须录入电子版后打印存档，注意成绩单打印时间要符合逻辑。③各系（部、院）可根据该模板自行调整格式，统一要求。</w:t>
      </w:r>
      <w:r>
        <w:rPr>
          <w:rFonts w:hint="eastAsia" w:ascii="仿宋_GB2312" w:hAnsi="仿宋_GB2312" w:eastAsia="仿宋_GB2312" w:cs="仿宋_GB2312"/>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0"/>
          <w:szCs w:val="30"/>
          <w:lang w:val="en-US" w:eastAsia="zh-CN"/>
        </w:rPr>
      </w:pPr>
      <w:r>
        <w:drawing>
          <wp:inline distT="0" distB="0" distL="114300" distR="114300">
            <wp:extent cx="3528060" cy="2647950"/>
            <wp:effectExtent l="0" t="0" r="152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528060" cy="26479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8.试卷分析单【分析卷面分数，并填写完成不要空项，注意填写时间要符合逻辑。】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9.试卷册【按照新要求装订的试题册；电子版需要放入光盘或U盘等。】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10.答题卡【①有答题卡的需要按照</w:t>
      </w:r>
      <w:r>
        <w:rPr>
          <w:rFonts w:hint="eastAsia" w:ascii="仿宋_GB2312" w:hAnsi="仿宋_GB2312" w:eastAsia="仿宋_GB2312" w:cs="仿宋_GB2312"/>
          <w:b/>
          <w:bCs/>
          <w:color w:val="auto"/>
          <w:sz w:val="30"/>
          <w:szCs w:val="30"/>
          <w:lang w:eastAsia="zh-CN"/>
        </w:rPr>
        <w:t>成绩单学号排序后，装入答题卡袋归档。</w:t>
      </w:r>
      <w:r>
        <w:rPr>
          <w:rFonts w:hint="eastAsia" w:ascii="仿宋_GB2312" w:hAnsi="仿宋_GB2312" w:eastAsia="仿宋_GB2312" w:cs="仿宋_GB2312"/>
          <w:sz w:val="30"/>
          <w:szCs w:val="30"/>
          <w:lang w:val="en-US" w:eastAsia="zh-CN"/>
        </w:rPr>
        <w:t>②答题卡成绩须体现在阅卷记录表及学生试题得分栏中，或另附成绩单。】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drawing>
          <wp:inline distT="0" distB="0" distL="114300" distR="114300">
            <wp:extent cx="3202305" cy="2160270"/>
            <wp:effectExtent l="0" t="0" r="17145" b="11430"/>
            <wp:docPr id="5" name="图片 5" descr="微信图片_2024010514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105141008"/>
                    <pic:cNvPicPr>
                      <a:picLocks noChangeAspect="1"/>
                    </pic:cNvPicPr>
                  </pic:nvPicPr>
                  <pic:blipFill>
                    <a:blip r:embed="rId8"/>
                    <a:stretch>
                      <a:fillRect/>
                    </a:stretch>
                  </pic:blipFill>
                  <pic:spPr>
                    <a:xfrm>
                      <a:off x="0" y="0"/>
                      <a:ext cx="3202305" cy="216027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（三）填写存档时间逻辑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jc w:val="left"/>
        <w:textAlignment w:val="auto"/>
        <w:rPr>
          <w:rFonts w:hint="eastAsia" w:ascii="仿宋_GB2312" w:hAnsi="仿宋_GB2312" w:eastAsia="仿宋_GB2312" w:cs="仿宋_GB2312"/>
          <w:b/>
          <w:bCs/>
          <w:color w:val="auto"/>
          <w:sz w:val="30"/>
          <w:szCs w:val="30"/>
          <w:lang w:eastAsia="zh-CN"/>
        </w:rPr>
      </w:pPr>
      <w:r>
        <w:rPr>
          <w:rFonts w:hint="eastAsia" w:ascii="仿宋_GB2312" w:hAnsi="仿宋_GB2312" w:eastAsia="仿宋_GB2312" w:cs="仿宋_GB2312"/>
          <w:b/>
          <w:bCs/>
          <w:color w:val="auto"/>
          <w:sz w:val="30"/>
          <w:szCs w:val="30"/>
          <w:lang w:val="en-US" w:eastAsia="zh-CN"/>
        </w:rPr>
        <w:t>组织考试</w:t>
      </w:r>
      <w:r>
        <w:rPr>
          <w:rFonts w:hint="eastAsia" w:ascii="仿宋_GB2312" w:hAnsi="仿宋_GB2312" w:eastAsia="仿宋_GB2312" w:cs="仿宋_GB2312"/>
          <w:b/>
          <w:bCs/>
          <w:color w:val="auto"/>
          <w:sz w:val="30"/>
          <w:szCs w:val="30"/>
        </w:rPr>
        <w:t>→</w:t>
      </w:r>
      <w:r>
        <w:rPr>
          <w:rFonts w:hint="eastAsia" w:ascii="仿宋_GB2312" w:hAnsi="仿宋_GB2312" w:eastAsia="仿宋_GB2312" w:cs="仿宋_GB2312"/>
          <w:b/>
          <w:bCs/>
          <w:color w:val="auto"/>
          <w:sz w:val="30"/>
          <w:szCs w:val="30"/>
          <w:lang w:eastAsia="zh-CN"/>
        </w:rPr>
        <w:t>批阅卷</w:t>
      </w:r>
      <w:r>
        <w:rPr>
          <w:rFonts w:hint="eastAsia" w:ascii="仿宋_GB2312" w:hAnsi="仿宋_GB2312" w:eastAsia="仿宋_GB2312" w:cs="仿宋_GB2312"/>
          <w:b/>
          <w:bCs/>
          <w:color w:val="auto"/>
          <w:sz w:val="30"/>
          <w:szCs w:val="30"/>
        </w:rPr>
        <w:t>→</w:t>
      </w:r>
      <w:r>
        <w:rPr>
          <w:rFonts w:hint="eastAsia" w:ascii="仿宋_GB2312" w:hAnsi="仿宋_GB2312" w:eastAsia="仿宋_GB2312" w:cs="仿宋_GB2312"/>
          <w:b/>
          <w:bCs/>
          <w:color w:val="auto"/>
          <w:sz w:val="30"/>
          <w:szCs w:val="30"/>
          <w:lang w:eastAsia="zh-CN"/>
        </w:rPr>
        <w:t>成绩单</w:t>
      </w:r>
      <w:r>
        <w:rPr>
          <w:rFonts w:hint="eastAsia" w:ascii="仿宋_GB2312" w:hAnsi="仿宋_GB2312" w:eastAsia="仿宋_GB2312" w:cs="仿宋_GB2312"/>
          <w:b/>
          <w:bCs/>
          <w:color w:val="auto"/>
          <w:sz w:val="30"/>
          <w:szCs w:val="30"/>
        </w:rPr>
        <w:t>→</w:t>
      </w:r>
      <w:r>
        <w:rPr>
          <w:rFonts w:hint="eastAsia" w:ascii="仿宋_GB2312" w:hAnsi="仿宋_GB2312" w:eastAsia="仿宋_GB2312" w:cs="仿宋_GB2312"/>
          <w:b/>
          <w:bCs/>
          <w:color w:val="auto"/>
          <w:sz w:val="30"/>
          <w:szCs w:val="30"/>
          <w:lang w:eastAsia="zh-CN"/>
        </w:rPr>
        <w:t>试卷分析单</w:t>
      </w:r>
      <w:r>
        <w:rPr>
          <w:rFonts w:hint="eastAsia" w:ascii="仿宋_GB2312" w:hAnsi="仿宋_GB2312" w:eastAsia="仿宋_GB2312" w:cs="仿宋_GB2312"/>
          <w:b/>
          <w:bCs/>
          <w:color w:val="auto"/>
          <w:sz w:val="30"/>
          <w:szCs w:val="30"/>
        </w:rPr>
        <w:t>→</w:t>
      </w:r>
      <w:r>
        <w:rPr>
          <w:rFonts w:hint="eastAsia" w:ascii="仿宋_GB2312" w:hAnsi="仿宋_GB2312" w:eastAsia="仿宋_GB2312" w:cs="仿宋_GB2312"/>
          <w:b/>
          <w:bCs/>
          <w:color w:val="auto"/>
          <w:sz w:val="30"/>
          <w:szCs w:val="30"/>
          <w:lang w:eastAsia="zh-CN"/>
        </w:rPr>
        <w:t>存档时间。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建议：</w:t>
      </w:r>
      <w:r>
        <w:rPr>
          <w:rFonts w:hint="eastAsia" w:ascii="仿宋_GB2312" w:hAnsi="仿宋_GB2312" w:eastAsia="仿宋_GB2312" w:cs="仿宋_GB2312"/>
          <w:b/>
          <w:bCs/>
          <w:color w:val="auto"/>
          <w:sz w:val="30"/>
          <w:szCs w:val="30"/>
          <w:lang w:val="en-US" w:eastAsia="zh-CN"/>
        </w:rPr>
        <w:t>存档工作在考试结束后一月内完成。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w:t>
      </w:r>
      <w:r>
        <w:rPr>
          <w:rFonts w:hint="eastAsia" w:ascii="仿宋_GB2312" w:hAnsi="仿宋_GB2312" w:eastAsia="仿宋_GB2312" w:cs="仿宋_GB2312"/>
          <w:b w:val="0"/>
          <w:bCs w:val="0"/>
          <w:sz w:val="30"/>
          <w:szCs w:val="30"/>
          <w:lang w:eastAsia="zh-CN"/>
        </w:rPr>
        <w:t>批卷应在考试结束后</w:t>
      </w:r>
      <w:r>
        <w:rPr>
          <w:rFonts w:hint="eastAsia" w:ascii="仿宋_GB2312" w:hAnsi="仿宋_GB2312" w:eastAsia="仿宋_GB2312" w:cs="仿宋_GB2312"/>
          <w:b w:val="0"/>
          <w:bCs w:val="0"/>
          <w:sz w:val="30"/>
          <w:szCs w:val="30"/>
          <w:lang w:val="en-US" w:eastAsia="zh-CN"/>
        </w:rPr>
        <w:t>5个工作日内完成。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2.成绩单、试卷分析单在批卷完成后打印，打印日期相隔不应超过1周。</w:t>
      </w:r>
    </w:p>
    <w:p>
      <w:pPr>
        <w:keepNext w:val="0"/>
        <w:keepLines w:val="0"/>
        <w:pageBreakBefore w:val="0"/>
        <w:widowControl w:val="0"/>
        <w:kinsoku/>
        <w:wordWrap/>
        <w:overflowPunct/>
        <w:topLinePunct w:val="0"/>
        <w:autoSpaceDE/>
        <w:autoSpaceDN/>
        <w:bidi w:val="0"/>
        <w:ind w:firstLine="600" w:firstLineChars="200"/>
        <w:jc w:val="left"/>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3.存档时间与成绩单、试卷分析单间隔3-5个工作日。</w:t>
      </w:r>
    </w:p>
    <w:p>
      <w:pPr>
        <w:keepNext w:val="0"/>
        <w:keepLines w:val="0"/>
        <w:pageBreakBefore w:val="0"/>
        <w:widowControl w:val="0"/>
        <w:kinsoku/>
        <w:wordWrap/>
        <w:overflowPunct/>
        <w:topLinePunct w:val="0"/>
        <w:autoSpaceDE/>
        <w:autoSpaceDN/>
        <w:bidi w:val="0"/>
        <w:ind w:firstLine="602" w:firstLineChars="200"/>
        <w:jc w:val="left"/>
        <w:textAlignment w:val="auto"/>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en-US" w:eastAsia="zh-CN"/>
        </w:rPr>
        <w:t>四、档案盒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b w:val="0"/>
          <w:bCs w:val="0"/>
          <w:color w:val="auto"/>
          <w:sz w:val="30"/>
          <w:szCs w:val="30"/>
          <w:lang w:val="en-US" w:eastAsia="zh-CN"/>
        </w:rPr>
        <w:t>档案盒封面、脊背</w:t>
      </w:r>
      <w:r>
        <w:rPr>
          <w:rFonts w:hint="eastAsia" w:ascii="仿宋_GB2312" w:hAnsi="仿宋_GB2312" w:eastAsia="仿宋_GB2312" w:cs="仿宋_GB2312"/>
          <w:sz w:val="30"/>
          <w:szCs w:val="30"/>
          <w:lang w:val="en-US" w:eastAsia="zh-CN"/>
        </w:rPr>
        <w:t>样式如图所示（档案盒厚度分5.5cm、7cm）：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30"/>
          <w:szCs w:val="30"/>
          <w:lang w:val="en-US" w:eastAsia="zh-CN"/>
        </w:rPr>
      </w:pPr>
      <w:r>
        <w:drawing>
          <wp:inline distT="0" distB="0" distL="114300" distR="114300">
            <wp:extent cx="3286760" cy="2879725"/>
            <wp:effectExtent l="0" t="0" r="8890" b="1587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3286760" cy="28797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jc w:val="left"/>
        <w:textAlignment w:val="auto"/>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b w:val="0"/>
          <w:bCs w:val="0"/>
          <w:color w:val="auto"/>
          <w:sz w:val="30"/>
          <w:szCs w:val="30"/>
          <w:lang w:val="en-US" w:eastAsia="zh-CN"/>
        </w:rPr>
        <w:t>盒内归档材料：试卷册、</w:t>
      </w:r>
      <w:bookmarkStart w:id="0" w:name="_GoBack"/>
      <w:bookmarkEnd w:id="0"/>
      <w:r>
        <w:rPr>
          <w:rFonts w:hint="eastAsia" w:ascii="仿宋_GB2312" w:hAnsi="仿宋_GB2312" w:eastAsia="仿宋_GB2312" w:cs="仿宋_GB2312"/>
          <w:b w:val="0"/>
          <w:bCs w:val="0"/>
          <w:color w:val="auto"/>
          <w:sz w:val="30"/>
          <w:szCs w:val="30"/>
          <w:lang w:val="en-US" w:eastAsia="zh-CN"/>
        </w:rPr>
        <w:t>试题册附件袋。</w:t>
      </w: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25533"/>
    <w:multiLevelType w:val="singleLevel"/>
    <w:tmpl w:val="B0725533"/>
    <w:lvl w:ilvl="0" w:tentative="0">
      <w:start w:val="2"/>
      <w:numFmt w:val="chineseCounting"/>
      <w:suff w:val="nothing"/>
      <w:lvlText w:val="%1、"/>
      <w:lvlJc w:val="left"/>
      <w:rPr>
        <w:rFonts w:hint="eastAsia"/>
      </w:rPr>
    </w:lvl>
  </w:abstractNum>
  <w:abstractNum w:abstractNumId="1">
    <w:nsid w:val="686BDE1A"/>
    <w:multiLevelType w:val="singleLevel"/>
    <w:tmpl w:val="686BDE1A"/>
    <w:lvl w:ilvl="0" w:tentative="0">
      <w:start w:val="2"/>
      <w:numFmt w:val="chineseCounting"/>
      <w:suff w:val="nothing"/>
      <w:lvlText w:val="（%1）"/>
      <w:lvlJc w:val="left"/>
      <w:rPr>
        <w:rFonts w:hint="eastAsia"/>
      </w:rPr>
    </w:lvl>
  </w:abstractNum>
  <w:abstractNum w:abstractNumId="2">
    <w:nsid w:val="7EFA8C87"/>
    <w:multiLevelType w:val="singleLevel"/>
    <w:tmpl w:val="7EFA8C8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zMTRjNzRmMmU1ODY2MjY5Yzc5NWM3MzIyNDZlMjcifQ=="/>
  </w:docVars>
  <w:rsids>
    <w:rsidRoot w:val="00000000"/>
    <w:rsid w:val="02CB5987"/>
    <w:rsid w:val="03B263AB"/>
    <w:rsid w:val="0A6842C0"/>
    <w:rsid w:val="0AB64351"/>
    <w:rsid w:val="0DB973DC"/>
    <w:rsid w:val="0DDD5767"/>
    <w:rsid w:val="0FC44C5C"/>
    <w:rsid w:val="0FEB39D9"/>
    <w:rsid w:val="10014724"/>
    <w:rsid w:val="1A7B441C"/>
    <w:rsid w:val="1AA97BB4"/>
    <w:rsid w:val="210A6765"/>
    <w:rsid w:val="291164C5"/>
    <w:rsid w:val="2AF47B16"/>
    <w:rsid w:val="2B39302E"/>
    <w:rsid w:val="2F72399D"/>
    <w:rsid w:val="32E31565"/>
    <w:rsid w:val="35835EDC"/>
    <w:rsid w:val="37922DEE"/>
    <w:rsid w:val="397C3770"/>
    <w:rsid w:val="3A015F8D"/>
    <w:rsid w:val="3C77495C"/>
    <w:rsid w:val="3D5E790C"/>
    <w:rsid w:val="3FD8135B"/>
    <w:rsid w:val="4263031F"/>
    <w:rsid w:val="442E57B1"/>
    <w:rsid w:val="496C4BF1"/>
    <w:rsid w:val="4A4A79EB"/>
    <w:rsid w:val="4E6316A0"/>
    <w:rsid w:val="4F87717D"/>
    <w:rsid w:val="4F9E3A79"/>
    <w:rsid w:val="4FD75C5D"/>
    <w:rsid w:val="52853309"/>
    <w:rsid w:val="545D1E8F"/>
    <w:rsid w:val="55E4027B"/>
    <w:rsid w:val="57CB4985"/>
    <w:rsid w:val="5BE82147"/>
    <w:rsid w:val="5C493DA9"/>
    <w:rsid w:val="5D4D4FBA"/>
    <w:rsid w:val="5FE07D05"/>
    <w:rsid w:val="5FE22EF6"/>
    <w:rsid w:val="61811074"/>
    <w:rsid w:val="661B0CC7"/>
    <w:rsid w:val="665E2D98"/>
    <w:rsid w:val="68BE1721"/>
    <w:rsid w:val="69115B88"/>
    <w:rsid w:val="69DF68B1"/>
    <w:rsid w:val="6A9C12AF"/>
    <w:rsid w:val="6BCE2D20"/>
    <w:rsid w:val="6C5F3DF6"/>
    <w:rsid w:val="703F25C7"/>
    <w:rsid w:val="740C647F"/>
    <w:rsid w:val="758E4BB8"/>
    <w:rsid w:val="77251E0C"/>
    <w:rsid w:val="7BC03538"/>
    <w:rsid w:val="7C765BB4"/>
    <w:rsid w:val="7E324F12"/>
    <w:rsid w:val="7F2C2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customStyle="1" w:styleId="7">
    <w:name w:val="Table Text"/>
    <w:basedOn w:val="1"/>
    <w:autoRedefine/>
    <w:semiHidden/>
    <w:qFormat/>
    <w:uiPriority w:val="0"/>
    <w:rPr>
      <w:rFonts w:ascii="宋体" w:hAnsi="宋体" w:eastAsia="宋体" w:cs="宋体"/>
      <w:sz w:val="21"/>
      <w:szCs w:val="21"/>
      <w:lang w:val="en-US" w:eastAsia="en-US" w:bidi="ar-SA"/>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1196</Words>
  <Characters>1289</Characters>
  <Lines>0</Lines>
  <Paragraphs>0</Paragraphs>
  <TotalTime>2</TotalTime>
  <ScaleCrop>false</ScaleCrop>
  <LinksUpToDate>false</LinksUpToDate>
  <CharactersWithSpaces>1290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2023-11-03T08:05:00Z</dcterms:created>
  <dc:creator>Administrator</dc:creator>
  <cp:lastModifiedBy>华氏英雄</cp:lastModifiedBy>
  <cp:lastPrinted>2023-11-23T08:00:00Z</cp:lastPrinted>
  <dcterms:modified xsi:type="dcterms:W3CDTF">2024-07-05T00:40:17Z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0808CFFDBE4341E482B04FCC1D68A35D_13</vt:lpwstr>
  </property>
</Properties>
</file>